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2064385</wp:posOffset>
            </wp:positionH>
            <wp:positionV relativeFrom="page">
              <wp:posOffset>3054985</wp:posOffset>
            </wp:positionV>
            <wp:extent cx="3659505" cy="262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ext uri="{28A0092B-C50C-407E-A947-70E740481C1C}"/>
                      </a:extLst>
                    </a:blip>
                    <a:srcRect/>
                    <a:stretch>
                      <a:fillRect/>
                    </a:stretch>
                  </pic:blipFill>
                  <pic:spPr bwMode="auto">
                    <a:xfrm>
                      <a:off x="0" y="0"/>
                      <a:ext cx="3659505" cy="262255"/>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33" w:lineRule="exact"/>
        <w:rPr>
          <w:sz w:val="24"/>
          <w:szCs w:val="24"/>
          <w:color w:val="auto"/>
        </w:rPr>
      </w:pPr>
    </w:p>
    <w:p>
      <w:pPr>
        <w:jc w:val="center"/>
        <w:ind w:right="-335"/>
        <w:spacing w:after="0"/>
        <w:tabs>
          <w:tab w:leader="none" w:pos="460" w:val="left"/>
        </w:tabs>
        <w:rPr>
          <w:sz w:val="20"/>
          <w:szCs w:val="20"/>
          <w:color w:val="auto"/>
        </w:rPr>
      </w:pPr>
      <w:r>
        <w:rPr>
          <w:rFonts w:ascii="Times New Roman" w:cs="Times New Roman" w:eastAsia="Times New Roman" w:hAnsi="Times New Roman"/>
          <w:sz w:val="32"/>
          <w:szCs w:val="32"/>
          <w:color w:val="auto"/>
        </w:rPr>
        <w:t>2020</w:t>
      </w:r>
      <w:r>
        <w:rPr>
          <w:sz w:val="20"/>
          <w:szCs w:val="20"/>
          <w:color w:val="auto"/>
        </w:rPr>
        <w:tab/>
      </w:r>
      <w:r>
        <w:rPr>
          <w:rFonts w:ascii="Times New Roman" w:cs="Times New Roman" w:eastAsia="Times New Roman" w:hAnsi="Times New Roman"/>
          <w:sz w:val="32"/>
          <w:szCs w:val="32"/>
          <w:color w:val="auto"/>
        </w:rPr>
        <w:t xml:space="preserve">7 </w:t>
      </w:r>
      <w:r>
        <w:rPr>
          <w:sz w:val="1"/>
          <w:szCs w:val="1"/>
          <w:color w:val="auto"/>
        </w:rPr>
        <w:drawing>
          <wp:inline distT="0" distB="0" distL="0" distR="0">
            <wp:extent cx="402590" cy="234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402590" cy="234950"/>
                    </a:xfrm>
                    <a:prstGeom prst="rect">
                      <a:avLst/>
                    </a:prstGeom>
                    <a:noFill/>
                    <a:ln>
                      <a:noFill/>
                    </a:ln>
                  </pic:spPr>
                </pic:pic>
              </a:graphicData>
            </a:graphic>
          </wp:inline>
        </w:drawing>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2790190</wp:posOffset>
            </wp:positionH>
            <wp:positionV relativeFrom="paragraph">
              <wp:posOffset>-234315</wp:posOffset>
            </wp:positionV>
            <wp:extent cx="506095" cy="2349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506095" cy="234950"/>
                    </a:xfrm>
                    <a:prstGeom prst="rect">
                      <a:avLst/>
                    </a:prstGeom>
                    <a:noFill/>
                  </pic:spPr>
                </pic:pic>
              </a:graphicData>
            </a:graphic>
          </wp:anchor>
        </w:drawing>
      </w:r>
    </w:p>
    <w:p>
      <w:pPr>
        <w:sectPr>
          <w:pgSz w:w="11900" w:h="16838" w:orient="portrait"/>
          <w:cols w:equalWidth="0" w:num="1">
            <w:col w:w="9024"/>
          </w:cols>
          <w:pgMar w:left="1440" w:top="1440" w:right="1440" w:bottom="1440" w:gutter="0" w:footer="0" w:header="0"/>
        </w:sectPr>
      </w:pPr>
    </w:p>
    <w:bookmarkStart w:id="1" w:name="page2"/>
    <w:bookmarkEnd w:id="1"/>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3552190</wp:posOffset>
            </wp:positionH>
            <wp:positionV relativeFrom="page">
              <wp:posOffset>1134110</wp:posOffset>
            </wp:positionV>
            <wp:extent cx="686435" cy="26225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clrChange>
                        <a:clrFrom>
                          <a:srgbClr val="FFFFFF"/>
                        </a:clrFrom>
                        <a:clrTo>
                          <a:srgbClr val="FFFFFF">
                            <a:alpha val="0"/>
                          </a:srgbClr>
                        </a:clrTo>
                      </a:clrChange>
                      <a:extLst>
                        <a:ext uri="{28A0092B-C50C-407E-A947-70E740481C1C}"/>
                      </a:extLst>
                    </a:blip>
                    <a:srcRect/>
                    <a:stretch>
                      <a:fillRect/>
                    </a:stretch>
                  </pic:blipFill>
                  <pic:spPr bwMode="auto">
                    <a:xfrm>
                      <a:off x="0" y="0"/>
                      <a:ext cx="686435" cy="26225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17" w:lineRule="exact"/>
        <w:rPr>
          <w:sz w:val="20"/>
          <w:szCs w:val="20"/>
          <w:color w:val="auto"/>
        </w:rPr>
      </w:pPr>
    </w:p>
    <w:p>
      <w:pPr>
        <w:ind w:left="360"/>
        <w:spacing w:after="0" w:line="320" w:lineRule="exact"/>
        <w:tabs>
          <w:tab w:leader="dot" w:pos="8520" w:val="left"/>
        </w:tabs>
        <w:rPr>
          <w:rFonts w:ascii="Times New Roman" w:cs="Times New Roman" w:eastAsia="Times New Roman" w:hAnsi="Times New Roman"/>
          <w:sz w:val="23"/>
          <w:szCs w:val="23"/>
          <w:color w:val="auto"/>
        </w:rPr>
      </w:pPr>
      <w:hyperlink w:anchor="page3">
        <w:r>
          <w:rPr>
            <w:rFonts w:ascii="黑体" w:cs="黑体" w:eastAsia="黑体" w:hAnsi="黑体"/>
            <w:sz w:val="24"/>
            <w:szCs w:val="24"/>
            <w:color w:val="auto"/>
          </w:rPr>
          <w:t>一、概述</w:t>
        </w:r>
      </w:hyperlink>
      <w:r>
        <w:rPr>
          <w:rFonts w:ascii="Times New Roman" w:cs="Times New Roman" w:eastAsia="Times New Roman" w:hAnsi="Times New Roman"/>
          <w:sz w:val="24"/>
          <w:szCs w:val="24"/>
          <w:color w:val="auto"/>
        </w:rPr>
        <w:tab/>
      </w:r>
      <w:hyperlink w:anchor="page3">
        <w:r>
          <w:rPr>
            <w:rFonts w:ascii="Times New Roman" w:cs="Times New Roman" w:eastAsia="Times New Roman" w:hAnsi="Times New Roman"/>
            <w:sz w:val="23"/>
            <w:szCs w:val="23"/>
            <w:color w:val="auto"/>
          </w:rPr>
          <w:t>1</w:t>
        </w:r>
      </w:hyperlink>
    </w:p>
    <w:p>
      <w:pPr>
        <w:spacing w:after="0" w:line="146" w:lineRule="exact"/>
        <w:rPr>
          <w:sz w:val="20"/>
          <w:szCs w:val="20"/>
          <w:color w:val="auto"/>
        </w:rPr>
      </w:pPr>
    </w:p>
    <w:p>
      <w:pPr>
        <w:ind w:left="360"/>
        <w:spacing w:after="0" w:line="320" w:lineRule="exact"/>
        <w:tabs>
          <w:tab w:leader="dot" w:pos="8520" w:val="left"/>
        </w:tabs>
        <w:rPr>
          <w:rFonts w:ascii="Times New Roman" w:cs="Times New Roman" w:eastAsia="Times New Roman" w:hAnsi="Times New Roman"/>
          <w:sz w:val="23"/>
          <w:szCs w:val="23"/>
          <w:color w:val="auto"/>
        </w:rPr>
      </w:pPr>
      <w:hyperlink w:anchor="page3">
        <w:r>
          <w:rPr>
            <w:rFonts w:ascii="黑体" w:cs="黑体" w:eastAsia="黑体" w:hAnsi="黑体"/>
            <w:sz w:val="24"/>
            <w:szCs w:val="24"/>
            <w:color w:val="auto"/>
          </w:rPr>
          <w:t>二、应用条件</w:t>
        </w:r>
      </w:hyperlink>
      <w:r>
        <w:rPr>
          <w:rFonts w:ascii="Times New Roman" w:cs="Times New Roman" w:eastAsia="Times New Roman" w:hAnsi="Times New Roman"/>
          <w:sz w:val="24"/>
          <w:szCs w:val="24"/>
          <w:color w:val="auto"/>
        </w:rPr>
        <w:tab/>
      </w:r>
      <w:hyperlink w:anchor="page3">
        <w:r>
          <w:rPr>
            <w:rFonts w:ascii="Times New Roman" w:cs="Times New Roman" w:eastAsia="Times New Roman" w:hAnsi="Times New Roman"/>
            <w:sz w:val="23"/>
            <w:szCs w:val="23"/>
            <w:color w:val="auto"/>
          </w:rPr>
          <w:t>1</w:t>
        </w:r>
      </w:hyperlink>
    </w:p>
    <w:p>
      <w:pPr>
        <w:spacing w:after="0" w:line="151"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4">
        <w:r>
          <w:rPr>
            <w:rFonts w:ascii="宋体" w:cs="宋体" w:eastAsia="宋体" w:hAnsi="宋体"/>
            <w:sz w:val="24"/>
            <w:szCs w:val="24"/>
            <w:color w:val="auto"/>
          </w:rPr>
          <w:t>（一）阳性对照药疗效的既往证据</w:t>
        </w:r>
      </w:hyperlink>
      <w:r>
        <w:rPr>
          <w:rFonts w:ascii="Times New Roman" w:cs="Times New Roman" w:eastAsia="Times New Roman" w:hAnsi="Times New Roman"/>
          <w:sz w:val="24"/>
          <w:szCs w:val="24"/>
          <w:color w:val="auto"/>
        </w:rPr>
        <w:tab/>
      </w:r>
      <w:hyperlink w:anchor="page4">
        <w:r>
          <w:rPr>
            <w:rFonts w:ascii="Times New Roman" w:cs="Times New Roman" w:eastAsia="Times New Roman" w:hAnsi="Times New Roman"/>
            <w:sz w:val="23"/>
            <w:szCs w:val="23"/>
            <w:color w:val="auto"/>
          </w:rPr>
          <w:t>2</w:t>
        </w:r>
      </w:hyperlink>
    </w:p>
    <w:p>
      <w:pPr>
        <w:spacing w:after="0" w:line="146"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4">
        <w:r>
          <w:rPr>
            <w:rFonts w:ascii="宋体" w:cs="宋体" w:eastAsia="宋体" w:hAnsi="宋体"/>
            <w:sz w:val="24"/>
            <w:szCs w:val="24"/>
            <w:color w:val="auto"/>
          </w:rPr>
          <w:t>（二）恒定假设</w:t>
        </w:r>
      </w:hyperlink>
      <w:r>
        <w:rPr>
          <w:rFonts w:ascii="Times New Roman" w:cs="Times New Roman" w:eastAsia="Times New Roman" w:hAnsi="Times New Roman"/>
          <w:sz w:val="24"/>
          <w:szCs w:val="24"/>
          <w:color w:val="auto"/>
        </w:rPr>
        <w:tab/>
      </w:r>
      <w:hyperlink w:anchor="page4">
        <w:r>
          <w:rPr>
            <w:rFonts w:ascii="Times New Roman" w:cs="Times New Roman" w:eastAsia="Times New Roman" w:hAnsi="Times New Roman"/>
            <w:sz w:val="23"/>
            <w:szCs w:val="23"/>
            <w:color w:val="auto"/>
          </w:rPr>
          <w:t>2</w:t>
        </w:r>
      </w:hyperlink>
    </w:p>
    <w:p>
      <w:pPr>
        <w:spacing w:after="0" w:line="151"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5">
        <w:r>
          <w:rPr>
            <w:rFonts w:ascii="宋体" w:cs="宋体" w:eastAsia="宋体" w:hAnsi="宋体"/>
            <w:sz w:val="24"/>
            <w:szCs w:val="24"/>
            <w:color w:val="auto"/>
          </w:rPr>
          <w:t>（三）良好的研究质量</w:t>
        </w:r>
      </w:hyperlink>
      <w:r>
        <w:rPr>
          <w:rFonts w:ascii="Times New Roman" w:cs="Times New Roman" w:eastAsia="Times New Roman" w:hAnsi="Times New Roman"/>
          <w:sz w:val="24"/>
          <w:szCs w:val="24"/>
          <w:color w:val="auto"/>
        </w:rPr>
        <w:tab/>
      </w:r>
      <w:hyperlink w:anchor="page5">
        <w:r>
          <w:rPr>
            <w:rFonts w:ascii="Times New Roman" w:cs="Times New Roman" w:eastAsia="Times New Roman" w:hAnsi="Times New Roman"/>
            <w:sz w:val="23"/>
            <w:szCs w:val="23"/>
            <w:color w:val="auto"/>
          </w:rPr>
          <w:t>3</w:t>
        </w:r>
      </w:hyperlink>
    </w:p>
    <w:p>
      <w:pPr>
        <w:spacing w:after="0" w:line="146" w:lineRule="exact"/>
        <w:rPr>
          <w:sz w:val="20"/>
          <w:szCs w:val="20"/>
          <w:color w:val="auto"/>
        </w:rPr>
      </w:pPr>
    </w:p>
    <w:p>
      <w:pPr>
        <w:ind w:left="360"/>
        <w:spacing w:after="0" w:line="320" w:lineRule="exact"/>
        <w:tabs>
          <w:tab w:leader="dot" w:pos="8520" w:val="left"/>
        </w:tabs>
        <w:rPr>
          <w:rFonts w:ascii="Times New Roman" w:cs="Times New Roman" w:eastAsia="Times New Roman" w:hAnsi="Times New Roman"/>
          <w:sz w:val="23"/>
          <w:szCs w:val="23"/>
          <w:color w:val="auto"/>
        </w:rPr>
      </w:pPr>
      <w:hyperlink w:anchor="page5">
        <w:r>
          <w:rPr>
            <w:rFonts w:ascii="黑体" w:cs="黑体" w:eastAsia="黑体" w:hAnsi="黑体"/>
            <w:sz w:val="24"/>
            <w:szCs w:val="24"/>
            <w:color w:val="auto"/>
          </w:rPr>
          <w:t>三、设计要点</w:t>
        </w:r>
      </w:hyperlink>
      <w:r>
        <w:rPr>
          <w:rFonts w:ascii="Times New Roman" w:cs="Times New Roman" w:eastAsia="Times New Roman" w:hAnsi="Times New Roman"/>
          <w:sz w:val="24"/>
          <w:szCs w:val="24"/>
          <w:color w:val="auto"/>
        </w:rPr>
        <w:tab/>
      </w:r>
      <w:hyperlink w:anchor="page5">
        <w:r>
          <w:rPr>
            <w:rFonts w:ascii="Times New Roman" w:cs="Times New Roman" w:eastAsia="Times New Roman" w:hAnsi="Times New Roman"/>
            <w:sz w:val="23"/>
            <w:szCs w:val="23"/>
            <w:color w:val="auto"/>
          </w:rPr>
          <w:t>3</w:t>
        </w:r>
      </w:hyperlink>
    </w:p>
    <w:p>
      <w:pPr>
        <w:spacing w:after="0" w:line="151"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5">
        <w:r>
          <w:rPr>
            <w:rFonts w:ascii="宋体" w:cs="宋体" w:eastAsia="宋体" w:hAnsi="宋体"/>
            <w:sz w:val="24"/>
            <w:szCs w:val="24"/>
            <w:color w:val="auto"/>
          </w:rPr>
          <w:t>（一）统计假设</w:t>
        </w:r>
      </w:hyperlink>
      <w:r>
        <w:rPr>
          <w:rFonts w:ascii="Times New Roman" w:cs="Times New Roman" w:eastAsia="Times New Roman" w:hAnsi="Times New Roman"/>
          <w:sz w:val="24"/>
          <w:szCs w:val="24"/>
          <w:color w:val="auto"/>
        </w:rPr>
        <w:tab/>
      </w:r>
      <w:hyperlink w:anchor="page5">
        <w:r>
          <w:rPr>
            <w:rFonts w:ascii="Times New Roman" w:cs="Times New Roman" w:eastAsia="Times New Roman" w:hAnsi="Times New Roman"/>
            <w:sz w:val="23"/>
            <w:szCs w:val="23"/>
            <w:color w:val="auto"/>
          </w:rPr>
          <w:t>3</w:t>
        </w:r>
      </w:hyperlink>
    </w:p>
    <w:p>
      <w:pPr>
        <w:spacing w:after="0" w:line="147"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6">
        <w:r>
          <w:rPr>
            <w:rFonts w:ascii="宋体" w:cs="宋体" w:eastAsia="宋体" w:hAnsi="宋体"/>
            <w:sz w:val="24"/>
            <w:szCs w:val="24"/>
            <w:color w:val="auto"/>
          </w:rPr>
          <w:t>（二）阳性对照药</w:t>
        </w:r>
      </w:hyperlink>
      <w:r>
        <w:rPr>
          <w:rFonts w:ascii="Times New Roman" w:cs="Times New Roman" w:eastAsia="Times New Roman" w:hAnsi="Times New Roman"/>
          <w:sz w:val="24"/>
          <w:szCs w:val="24"/>
          <w:color w:val="auto"/>
        </w:rPr>
        <w:tab/>
      </w:r>
      <w:hyperlink w:anchor="page6">
        <w:r>
          <w:rPr>
            <w:rFonts w:ascii="Times New Roman" w:cs="Times New Roman" w:eastAsia="Times New Roman" w:hAnsi="Times New Roman"/>
            <w:sz w:val="23"/>
            <w:szCs w:val="23"/>
            <w:color w:val="auto"/>
          </w:rPr>
          <w:t>4</w:t>
        </w:r>
      </w:hyperlink>
    </w:p>
    <w:p>
      <w:pPr>
        <w:spacing w:after="0" w:line="151"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6">
        <w:r>
          <w:rPr>
            <w:rFonts w:ascii="宋体" w:cs="宋体" w:eastAsia="宋体" w:hAnsi="宋体"/>
            <w:sz w:val="24"/>
            <w:szCs w:val="24"/>
            <w:color w:val="auto"/>
          </w:rPr>
          <w:t>（三）分析人群</w:t>
        </w:r>
      </w:hyperlink>
      <w:r>
        <w:rPr>
          <w:rFonts w:ascii="Times New Roman" w:cs="Times New Roman" w:eastAsia="Times New Roman" w:hAnsi="Times New Roman"/>
          <w:sz w:val="24"/>
          <w:szCs w:val="24"/>
          <w:color w:val="auto"/>
        </w:rPr>
        <w:tab/>
      </w:r>
      <w:hyperlink w:anchor="page6">
        <w:r>
          <w:rPr>
            <w:rFonts w:ascii="Times New Roman" w:cs="Times New Roman" w:eastAsia="Times New Roman" w:hAnsi="Times New Roman"/>
            <w:sz w:val="23"/>
            <w:szCs w:val="23"/>
            <w:color w:val="auto"/>
          </w:rPr>
          <w:t>4</w:t>
        </w:r>
      </w:hyperlink>
    </w:p>
    <w:p>
      <w:pPr>
        <w:spacing w:after="0" w:line="146" w:lineRule="exact"/>
        <w:rPr>
          <w:sz w:val="20"/>
          <w:szCs w:val="20"/>
          <w:color w:val="auto"/>
        </w:rPr>
      </w:pPr>
    </w:p>
    <w:p>
      <w:pPr>
        <w:ind w:left="360"/>
        <w:spacing w:after="0" w:line="320" w:lineRule="exact"/>
        <w:tabs>
          <w:tab w:leader="dot" w:pos="8520" w:val="left"/>
        </w:tabs>
        <w:rPr>
          <w:rFonts w:ascii="Times New Roman" w:cs="Times New Roman" w:eastAsia="Times New Roman" w:hAnsi="Times New Roman"/>
          <w:sz w:val="23"/>
          <w:szCs w:val="23"/>
          <w:color w:val="auto"/>
        </w:rPr>
      </w:pPr>
      <w:hyperlink w:anchor="page7">
        <w:r>
          <w:rPr>
            <w:rFonts w:ascii="黑体" w:cs="黑体" w:eastAsia="黑体" w:hAnsi="黑体"/>
            <w:sz w:val="24"/>
            <w:szCs w:val="24"/>
            <w:color w:val="auto"/>
          </w:rPr>
          <w:t>四、非劣效界值确定与统计推断</w:t>
        </w:r>
      </w:hyperlink>
      <w:r>
        <w:rPr>
          <w:rFonts w:ascii="Times New Roman" w:cs="Times New Roman" w:eastAsia="Times New Roman" w:hAnsi="Times New Roman"/>
          <w:sz w:val="24"/>
          <w:szCs w:val="24"/>
          <w:color w:val="auto"/>
        </w:rPr>
        <w:tab/>
      </w:r>
      <w:hyperlink w:anchor="page7">
        <w:r>
          <w:rPr>
            <w:rFonts w:ascii="Times New Roman" w:cs="Times New Roman" w:eastAsia="Times New Roman" w:hAnsi="Times New Roman"/>
            <w:sz w:val="23"/>
            <w:szCs w:val="23"/>
            <w:color w:val="auto"/>
          </w:rPr>
          <w:t>5</w:t>
        </w:r>
      </w:hyperlink>
    </w:p>
    <w:p>
      <w:pPr>
        <w:spacing w:after="0" w:line="151"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8">
        <w:r>
          <w:rPr>
            <w:rFonts w:ascii="宋体" w:cs="宋体" w:eastAsia="宋体" w:hAnsi="宋体"/>
            <w:sz w:val="24"/>
            <w:szCs w:val="24"/>
            <w:color w:val="auto"/>
          </w:rPr>
          <w:t>（一）固定界值法</w:t>
        </w:r>
      </w:hyperlink>
      <w:r>
        <w:rPr>
          <w:rFonts w:ascii="Times New Roman" w:cs="Times New Roman" w:eastAsia="Times New Roman" w:hAnsi="Times New Roman"/>
          <w:sz w:val="24"/>
          <w:szCs w:val="24"/>
          <w:color w:val="auto"/>
        </w:rPr>
        <w:tab/>
      </w:r>
      <w:hyperlink w:anchor="page8">
        <w:r>
          <w:rPr>
            <w:rFonts w:ascii="Times New Roman" w:cs="Times New Roman" w:eastAsia="Times New Roman" w:hAnsi="Times New Roman"/>
            <w:sz w:val="23"/>
            <w:szCs w:val="23"/>
            <w:color w:val="auto"/>
          </w:rPr>
          <w:t>6</w:t>
        </w:r>
      </w:hyperlink>
    </w:p>
    <w:p>
      <w:pPr>
        <w:spacing w:after="0" w:line="147"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10">
        <w:r>
          <w:rPr>
            <w:rFonts w:ascii="宋体" w:cs="宋体" w:eastAsia="宋体" w:hAnsi="宋体"/>
            <w:sz w:val="24"/>
            <w:szCs w:val="24"/>
            <w:color w:val="auto"/>
          </w:rPr>
          <w:t>（二）综合法</w:t>
        </w:r>
      </w:hyperlink>
      <w:r>
        <w:rPr>
          <w:rFonts w:ascii="Times New Roman" w:cs="Times New Roman" w:eastAsia="Times New Roman" w:hAnsi="Times New Roman"/>
          <w:sz w:val="24"/>
          <w:szCs w:val="24"/>
          <w:color w:val="auto"/>
        </w:rPr>
        <w:tab/>
      </w:r>
      <w:hyperlink w:anchor="page10">
        <w:r>
          <w:rPr>
            <w:rFonts w:ascii="Times New Roman" w:cs="Times New Roman" w:eastAsia="Times New Roman" w:hAnsi="Times New Roman"/>
            <w:sz w:val="23"/>
            <w:szCs w:val="23"/>
            <w:color w:val="auto"/>
          </w:rPr>
          <w:t>8</w:t>
        </w:r>
      </w:hyperlink>
    </w:p>
    <w:p>
      <w:pPr>
        <w:spacing w:after="0" w:line="151" w:lineRule="exact"/>
        <w:rPr>
          <w:sz w:val="20"/>
          <w:szCs w:val="20"/>
          <w:color w:val="auto"/>
        </w:rPr>
      </w:pPr>
    </w:p>
    <w:p>
      <w:pPr>
        <w:ind w:left="360"/>
        <w:spacing w:after="0" w:line="320" w:lineRule="exact"/>
        <w:tabs>
          <w:tab w:leader="dot" w:pos="8520" w:val="left"/>
        </w:tabs>
        <w:rPr>
          <w:rFonts w:ascii="Times New Roman" w:cs="Times New Roman" w:eastAsia="Times New Roman" w:hAnsi="Times New Roman"/>
          <w:sz w:val="23"/>
          <w:szCs w:val="23"/>
          <w:color w:val="auto"/>
        </w:rPr>
      </w:pPr>
      <w:hyperlink w:anchor="page11">
        <w:r>
          <w:rPr>
            <w:rFonts w:ascii="黑体" w:cs="黑体" w:eastAsia="黑体" w:hAnsi="黑体"/>
            <w:sz w:val="24"/>
            <w:szCs w:val="24"/>
            <w:color w:val="auto"/>
          </w:rPr>
          <w:t>五、其他考虑</w:t>
        </w:r>
      </w:hyperlink>
      <w:r>
        <w:rPr>
          <w:rFonts w:ascii="Times New Roman" w:cs="Times New Roman" w:eastAsia="Times New Roman" w:hAnsi="Times New Roman"/>
          <w:sz w:val="24"/>
          <w:szCs w:val="24"/>
          <w:color w:val="auto"/>
        </w:rPr>
        <w:tab/>
      </w:r>
      <w:hyperlink w:anchor="page11">
        <w:r>
          <w:rPr>
            <w:rFonts w:ascii="Times New Roman" w:cs="Times New Roman" w:eastAsia="Times New Roman" w:hAnsi="Times New Roman"/>
            <w:sz w:val="23"/>
            <w:szCs w:val="23"/>
            <w:color w:val="auto"/>
          </w:rPr>
          <w:t>9</w:t>
        </w:r>
      </w:hyperlink>
    </w:p>
    <w:p>
      <w:pPr>
        <w:spacing w:after="0" w:line="146"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11">
        <w:r>
          <w:rPr>
            <w:rFonts w:ascii="宋体" w:cs="宋体" w:eastAsia="宋体" w:hAnsi="宋体"/>
            <w:sz w:val="24"/>
            <w:szCs w:val="24"/>
            <w:color w:val="auto"/>
          </w:rPr>
          <w:t>（一）相对于疗效损失的潜在获益</w:t>
        </w:r>
      </w:hyperlink>
      <w:r>
        <w:rPr>
          <w:rFonts w:ascii="Times New Roman" w:cs="Times New Roman" w:eastAsia="Times New Roman" w:hAnsi="Times New Roman"/>
          <w:sz w:val="24"/>
          <w:szCs w:val="24"/>
          <w:color w:val="auto"/>
        </w:rPr>
        <w:tab/>
      </w:r>
      <w:hyperlink w:anchor="page11">
        <w:r>
          <w:rPr>
            <w:rFonts w:ascii="Times New Roman" w:cs="Times New Roman" w:eastAsia="Times New Roman" w:hAnsi="Times New Roman"/>
            <w:sz w:val="23"/>
            <w:szCs w:val="23"/>
            <w:color w:val="auto"/>
          </w:rPr>
          <w:t>9</w:t>
        </w:r>
      </w:hyperlink>
    </w:p>
    <w:p>
      <w:pPr>
        <w:spacing w:after="0" w:line="151"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11">
        <w:r>
          <w:rPr>
            <w:rFonts w:ascii="宋体" w:cs="宋体" w:eastAsia="宋体" w:hAnsi="宋体"/>
            <w:sz w:val="24"/>
            <w:szCs w:val="24"/>
            <w:color w:val="auto"/>
          </w:rPr>
          <w:t>（二）非劣效与优效检验的转换</w:t>
        </w:r>
      </w:hyperlink>
      <w:r>
        <w:rPr>
          <w:rFonts w:ascii="Times New Roman" w:cs="Times New Roman" w:eastAsia="Times New Roman" w:hAnsi="Times New Roman"/>
          <w:sz w:val="24"/>
          <w:szCs w:val="24"/>
          <w:color w:val="auto"/>
        </w:rPr>
        <w:tab/>
      </w:r>
      <w:hyperlink w:anchor="page11">
        <w:r>
          <w:rPr>
            <w:rFonts w:ascii="Times New Roman" w:cs="Times New Roman" w:eastAsia="Times New Roman" w:hAnsi="Times New Roman"/>
            <w:sz w:val="23"/>
            <w:szCs w:val="23"/>
            <w:color w:val="auto"/>
          </w:rPr>
          <w:t>9</w:t>
        </w:r>
      </w:hyperlink>
    </w:p>
    <w:p>
      <w:pPr>
        <w:spacing w:after="0" w:line="146" w:lineRule="exact"/>
        <w:rPr>
          <w:sz w:val="20"/>
          <w:szCs w:val="20"/>
          <w:color w:val="auto"/>
        </w:rPr>
      </w:pPr>
    </w:p>
    <w:p>
      <w:pPr>
        <w:ind w:left="780"/>
        <w:spacing w:after="0" w:line="320" w:lineRule="exact"/>
        <w:tabs>
          <w:tab w:leader="dot" w:pos="8520" w:val="left"/>
        </w:tabs>
        <w:rPr>
          <w:rFonts w:ascii="Times New Roman" w:cs="Times New Roman" w:eastAsia="Times New Roman" w:hAnsi="Times New Roman"/>
          <w:sz w:val="23"/>
          <w:szCs w:val="23"/>
          <w:color w:val="auto"/>
        </w:rPr>
      </w:pPr>
      <w:hyperlink w:anchor="page11">
        <w:r>
          <w:rPr>
            <w:rFonts w:ascii="宋体" w:cs="宋体" w:eastAsia="宋体" w:hAnsi="宋体"/>
            <w:sz w:val="24"/>
            <w:szCs w:val="24"/>
            <w:color w:val="auto"/>
          </w:rPr>
          <w:t>（三）三臂非劣效设计</w:t>
        </w:r>
      </w:hyperlink>
      <w:r>
        <w:rPr>
          <w:rFonts w:ascii="Times New Roman" w:cs="Times New Roman" w:eastAsia="Times New Roman" w:hAnsi="Times New Roman"/>
          <w:sz w:val="24"/>
          <w:szCs w:val="24"/>
          <w:color w:val="auto"/>
        </w:rPr>
        <w:tab/>
      </w:r>
      <w:hyperlink w:anchor="page11">
        <w:r>
          <w:rPr>
            <w:rFonts w:ascii="Times New Roman" w:cs="Times New Roman" w:eastAsia="Times New Roman" w:hAnsi="Times New Roman"/>
            <w:sz w:val="23"/>
            <w:szCs w:val="23"/>
            <w:color w:val="auto"/>
          </w:rPr>
          <w:t>9</w:t>
        </w:r>
      </w:hyperlink>
    </w:p>
    <w:p>
      <w:pPr>
        <w:spacing w:after="0" w:line="151" w:lineRule="exact"/>
        <w:rPr>
          <w:sz w:val="20"/>
          <w:szCs w:val="20"/>
          <w:color w:val="auto"/>
        </w:rPr>
      </w:pPr>
    </w:p>
    <w:p>
      <w:pPr>
        <w:ind w:left="780"/>
        <w:spacing w:after="0" w:line="320" w:lineRule="exact"/>
        <w:tabs>
          <w:tab w:leader="dot" w:pos="8400" w:val="left"/>
        </w:tabs>
        <w:rPr>
          <w:rFonts w:ascii="Times New Roman" w:cs="Times New Roman" w:eastAsia="Times New Roman" w:hAnsi="Times New Roman"/>
          <w:sz w:val="23"/>
          <w:szCs w:val="23"/>
          <w:color w:val="auto"/>
        </w:rPr>
      </w:pPr>
      <w:hyperlink w:anchor="page12">
        <w:r>
          <w:rPr>
            <w:rFonts w:ascii="宋体" w:cs="宋体" w:eastAsia="宋体" w:hAnsi="宋体"/>
            <w:sz w:val="24"/>
            <w:szCs w:val="24"/>
            <w:color w:val="auto"/>
          </w:rPr>
          <w:t>（四）与监管机构的沟通</w:t>
        </w:r>
      </w:hyperlink>
      <w:r>
        <w:rPr>
          <w:rFonts w:ascii="Times New Roman" w:cs="Times New Roman" w:eastAsia="Times New Roman" w:hAnsi="Times New Roman"/>
          <w:sz w:val="24"/>
          <w:szCs w:val="24"/>
          <w:color w:val="auto"/>
        </w:rPr>
        <w:tab/>
      </w:r>
      <w:hyperlink w:anchor="page12">
        <w:r>
          <w:rPr>
            <w:rFonts w:ascii="Times New Roman" w:cs="Times New Roman" w:eastAsia="Times New Roman" w:hAnsi="Times New Roman"/>
            <w:sz w:val="23"/>
            <w:szCs w:val="23"/>
            <w:color w:val="auto"/>
          </w:rPr>
          <w:t>10</w:t>
        </w:r>
      </w:hyperlink>
    </w:p>
    <w:p>
      <w:pPr>
        <w:spacing w:after="0" w:line="174" w:lineRule="exact"/>
        <w:rPr>
          <w:sz w:val="20"/>
          <w:szCs w:val="20"/>
          <w:color w:val="auto"/>
        </w:rPr>
      </w:pPr>
    </w:p>
    <w:p>
      <w:pPr>
        <w:ind w:left="360"/>
        <w:spacing w:after="0" w:line="292" w:lineRule="exact"/>
        <w:tabs>
          <w:tab w:leader="dot" w:pos="8400" w:val="left"/>
        </w:tabs>
        <w:rPr>
          <w:rFonts w:ascii="Times New Roman" w:cs="Times New Roman" w:eastAsia="Times New Roman" w:hAnsi="Times New Roman"/>
          <w:sz w:val="23"/>
          <w:szCs w:val="23"/>
          <w:color w:val="auto"/>
        </w:rPr>
      </w:pPr>
      <w:hyperlink w:anchor="page13">
        <w:r>
          <w:rPr>
            <w:rFonts w:ascii="黑体" w:cs="黑体" w:eastAsia="黑体" w:hAnsi="黑体"/>
            <w:sz w:val="24"/>
            <w:szCs w:val="24"/>
            <w:color w:val="auto"/>
          </w:rPr>
          <w:t>附录</w:t>
        </w:r>
        <w:r>
          <w:rPr>
            <w:rFonts w:ascii="Times New Roman" w:cs="Times New Roman" w:eastAsia="Times New Roman" w:hAnsi="Times New Roman"/>
            <w:sz w:val="24"/>
            <w:szCs w:val="24"/>
            <w:color w:val="auto"/>
          </w:rPr>
          <w:t xml:space="preserve"> 1</w:t>
        </w:r>
        <w:r>
          <w:rPr>
            <w:rFonts w:ascii="黑体" w:cs="黑体" w:eastAsia="黑体" w:hAnsi="黑体"/>
            <w:sz w:val="24"/>
            <w:szCs w:val="24"/>
            <w:color w:val="auto"/>
          </w:rPr>
          <w:t>：中英文词汇对照</w:t>
        </w:r>
      </w:hyperlink>
      <w:r>
        <w:rPr>
          <w:rFonts w:ascii="Times New Roman" w:cs="Times New Roman" w:eastAsia="Times New Roman" w:hAnsi="Times New Roman"/>
          <w:sz w:val="24"/>
          <w:szCs w:val="24"/>
          <w:color w:val="auto"/>
        </w:rPr>
        <w:tab/>
      </w:r>
      <w:hyperlink w:anchor="page13">
        <w:r>
          <w:rPr>
            <w:rFonts w:ascii="Times New Roman" w:cs="Times New Roman" w:eastAsia="Times New Roman" w:hAnsi="Times New Roman"/>
            <w:sz w:val="23"/>
            <w:szCs w:val="23"/>
            <w:color w:val="auto"/>
          </w:rPr>
          <w:t>11</w:t>
        </w:r>
      </w:hyperlink>
    </w:p>
    <w:p>
      <w:pPr>
        <w:spacing w:after="0" w:line="178" w:lineRule="exact"/>
        <w:rPr>
          <w:sz w:val="20"/>
          <w:szCs w:val="20"/>
          <w:color w:val="auto"/>
        </w:rPr>
      </w:pPr>
    </w:p>
    <w:p>
      <w:pPr>
        <w:ind w:left="360"/>
        <w:spacing w:after="0" w:line="292" w:lineRule="exact"/>
        <w:tabs>
          <w:tab w:leader="dot" w:pos="8400" w:val="left"/>
        </w:tabs>
        <w:rPr>
          <w:rFonts w:ascii="Times New Roman" w:cs="Times New Roman" w:eastAsia="Times New Roman" w:hAnsi="Times New Roman"/>
          <w:sz w:val="23"/>
          <w:szCs w:val="23"/>
          <w:color w:val="auto"/>
        </w:rPr>
      </w:pPr>
      <w:hyperlink w:anchor="page14">
        <w:r>
          <w:rPr>
            <w:rFonts w:ascii="黑体" w:cs="黑体" w:eastAsia="黑体" w:hAnsi="黑体"/>
            <w:sz w:val="24"/>
            <w:szCs w:val="24"/>
            <w:color w:val="auto"/>
          </w:rPr>
          <w:t>附录</w:t>
        </w:r>
        <w:r>
          <w:rPr>
            <w:rFonts w:ascii="Times New Roman" w:cs="Times New Roman" w:eastAsia="Times New Roman" w:hAnsi="Times New Roman"/>
            <w:sz w:val="24"/>
            <w:szCs w:val="24"/>
            <w:color w:val="auto"/>
          </w:rPr>
          <w:t xml:space="preserve"> 2</w:t>
        </w:r>
        <w:r>
          <w:rPr>
            <w:rFonts w:ascii="黑体" w:cs="黑体" w:eastAsia="黑体" w:hAnsi="黑体"/>
            <w:sz w:val="24"/>
            <w:szCs w:val="24"/>
            <w:color w:val="auto"/>
          </w:rPr>
          <w:t>：主要公式</w:t>
        </w:r>
      </w:hyperlink>
      <w:r>
        <w:rPr>
          <w:rFonts w:ascii="Times New Roman" w:cs="Times New Roman" w:eastAsia="Times New Roman" w:hAnsi="Times New Roman"/>
          <w:sz w:val="24"/>
          <w:szCs w:val="24"/>
          <w:color w:val="auto"/>
        </w:rPr>
        <w:tab/>
      </w:r>
      <w:hyperlink w:anchor="page14">
        <w:r>
          <w:rPr>
            <w:rFonts w:ascii="Times New Roman" w:cs="Times New Roman" w:eastAsia="Times New Roman" w:hAnsi="Times New Roman"/>
            <w:sz w:val="23"/>
            <w:szCs w:val="23"/>
            <w:color w:val="auto"/>
          </w:rPr>
          <w:t>12</w:t>
        </w:r>
      </w:hyperlink>
    </w:p>
    <w:p>
      <w:pPr>
        <w:spacing w:after="0" w:line="146" w:lineRule="exact"/>
        <w:rPr>
          <w:sz w:val="20"/>
          <w:szCs w:val="20"/>
          <w:color w:val="auto"/>
        </w:rPr>
      </w:pPr>
    </w:p>
    <w:p>
      <w:pPr>
        <w:ind w:left="780"/>
        <w:spacing w:after="0" w:line="320" w:lineRule="exact"/>
        <w:tabs>
          <w:tab w:leader="dot" w:pos="8400" w:val="left"/>
        </w:tabs>
        <w:rPr>
          <w:rFonts w:ascii="Times New Roman" w:cs="Times New Roman" w:eastAsia="Times New Roman" w:hAnsi="Times New Roman"/>
          <w:sz w:val="23"/>
          <w:szCs w:val="23"/>
          <w:color w:val="auto"/>
        </w:rPr>
      </w:pPr>
      <w:hyperlink w:anchor="page14">
        <w:r>
          <w:rPr>
            <w:rFonts w:ascii="宋体" w:cs="宋体" w:eastAsia="宋体" w:hAnsi="宋体"/>
            <w:sz w:val="24"/>
            <w:szCs w:val="24"/>
            <w:color w:val="auto"/>
          </w:rPr>
          <w:t>（一）固定界值法</w:t>
        </w:r>
      </w:hyperlink>
      <w:r>
        <w:rPr>
          <w:rFonts w:ascii="Times New Roman" w:cs="Times New Roman" w:eastAsia="Times New Roman" w:hAnsi="Times New Roman"/>
          <w:sz w:val="24"/>
          <w:szCs w:val="24"/>
          <w:color w:val="auto"/>
        </w:rPr>
        <w:tab/>
      </w:r>
      <w:hyperlink w:anchor="page14">
        <w:r>
          <w:rPr>
            <w:rFonts w:ascii="Times New Roman" w:cs="Times New Roman" w:eastAsia="Times New Roman" w:hAnsi="Times New Roman"/>
            <w:sz w:val="23"/>
            <w:szCs w:val="23"/>
            <w:color w:val="auto"/>
          </w:rPr>
          <w:t>12</w:t>
        </w:r>
      </w:hyperlink>
    </w:p>
    <w:p>
      <w:pPr>
        <w:spacing w:after="0" w:line="151" w:lineRule="exact"/>
        <w:rPr>
          <w:sz w:val="20"/>
          <w:szCs w:val="20"/>
          <w:color w:val="auto"/>
        </w:rPr>
      </w:pPr>
    </w:p>
    <w:p>
      <w:pPr>
        <w:ind w:left="780"/>
        <w:spacing w:after="0" w:line="320" w:lineRule="exact"/>
        <w:tabs>
          <w:tab w:leader="dot" w:pos="8400" w:val="left"/>
        </w:tabs>
        <w:rPr>
          <w:rFonts w:ascii="Times New Roman" w:cs="Times New Roman" w:eastAsia="Times New Roman" w:hAnsi="Times New Roman"/>
          <w:sz w:val="23"/>
          <w:szCs w:val="23"/>
          <w:color w:val="auto"/>
        </w:rPr>
      </w:pPr>
      <w:hyperlink w:anchor="page14">
        <w:r>
          <w:rPr>
            <w:rFonts w:ascii="宋体" w:cs="宋体" w:eastAsia="宋体" w:hAnsi="宋体"/>
            <w:sz w:val="24"/>
            <w:szCs w:val="24"/>
            <w:color w:val="auto"/>
          </w:rPr>
          <w:t>（二）综合法</w:t>
        </w:r>
      </w:hyperlink>
      <w:r>
        <w:rPr>
          <w:rFonts w:ascii="Times New Roman" w:cs="Times New Roman" w:eastAsia="Times New Roman" w:hAnsi="Times New Roman"/>
          <w:sz w:val="24"/>
          <w:szCs w:val="24"/>
          <w:color w:val="auto"/>
        </w:rPr>
        <w:tab/>
      </w:r>
      <w:hyperlink w:anchor="page14">
        <w:r>
          <w:rPr>
            <w:rFonts w:ascii="Times New Roman" w:cs="Times New Roman" w:eastAsia="Times New Roman" w:hAnsi="Times New Roman"/>
            <w:sz w:val="23"/>
            <w:szCs w:val="23"/>
            <w:color w:val="auto"/>
          </w:rPr>
          <w:t>12</w:t>
        </w:r>
      </w:hyperlink>
    </w:p>
    <w:p>
      <w:pPr>
        <w:spacing w:after="0" w:line="174" w:lineRule="exact"/>
        <w:rPr>
          <w:sz w:val="20"/>
          <w:szCs w:val="20"/>
          <w:color w:val="auto"/>
        </w:rPr>
      </w:pPr>
    </w:p>
    <w:p>
      <w:pPr>
        <w:ind w:left="360"/>
        <w:spacing w:after="0" w:line="292" w:lineRule="exact"/>
        <w:tabs>
          <w:tab w:leader="dot" w:pos="8400" w:val="left"/>
        </w:tabs>
        <w:rPr>
          <w:rFonts w:ascii="Times New Roman" w:cs="Times New Roman" w:eastAsia="Times New Roman" w:hAnsi="Times New Roman"/>
          <w:sz w:val="23"/>
          <w:szCs w:val="23"/>
          <w:color w:val="auto"/>
        </w:rPr>
      </w:pPr>
      <w:hyperlink w:anchor="page15">
        <w:r>
          <w:rPr>
            <w:rFonts w:ascii="黑体" w:cs="黑体" w:eastAsia="黑体" w:hAnsi="黑体"/>
            <w:sz w:val="24"/>
            <w:szCs w:val="24"/>
            <w:color w:val="auto"/>
          </w:rPr>
          <w:t>附录</w:t>
        </w:r>
        <w:r>
          <w:rPr>
            <w:rFonts w:ascii="Times New Roman" w:cs="Times New Roman" w:eastAsia="Times New Roman" w:hAnsi="Times New Roman"/>
            <w:sz w:val="24"/>
            <w:szCs w:val="24"/>
            <w:color w:val="auto"/>
          </w:rPr>
          <w:t xml:space="preserve"> 3</w:t>
        </w:r>
        <w:r>
          <w:rPr>
            <w:rFonts w:ascii="黑体" w:cs="黑体" w:eastAsia="黑体" w:hAnsi="黑体"/>
            <w:sz w:val="24"/>
            <w:szCs w:val="24"/>
            <w:color w:val="auto"/>
          </w:rPr>
          <w:t>：应用示例</w:t>
        </w:r>
      </w:hyperlink>
      <w:r>
        <w:rPr>
          <w:rFonts w:ascii="Times New Roman" w:cs="Times New Roman" w:eastAsia="Times New Roman" w:hAnsi="Times New Roman"/>
          <w:sz w:val="24"/>
          <w:szCs w:val="24"/>
          <w:color w:val="auto"/>
        </w:rPr>
        <w:tab/>
      </w:r>
      <w:hyperlink w:anchor="page15">
        <w:r>
          <w:rPr>
            <w:rFonts w:ascii="Times New Roman" w:cs="Times New Roman" w:eastAsia="Times New Roman" w:hAnsi="Times New Roman"/>
            <w:sz w:val="23"/>
            <w:szCs w:val="23"/>
            <w:color w:val="auto"/>
          </w:rPr>
          <w:t>13</w:t>
        </w:r>
      </w:hyperlink>
    </w:p>
    <w:p>
      <w:pPr>
        <w:spacing w:after="0" w:line="151" w:lineRule="exact"/>
        <w:rPr>
          <w:sz w:val="20"/>
          <w:szCs w:val="20"/>
          <w:color w:val="auto"/>
        </w:rPr>
      </w:pPr>
    </w:p>
    <w:p>
      <w:pPr>
        <w:ind w:left="780"/>
        <w:spacing w:after="0" w:line="320" w:lineRule="exact"/>
        <w:tabs>
          <w:tab w:leader="dot" w:pos="8400" w:val="left"/>
        </w:tabs>
        <w:rPr>
          <w:rFonts w:ascii="Times New Roman" w:cs="Times New Roman" w:eastAsia="Times New Roman" w:hAnsi="Times New Roman"/>
          <w:sz w:val="23"/>
          <w:szCs w:val="23"/>
          <w:color w:val="auto"/>
        </w:rPr>
      </w:pPr>
      <w:hyperlink w:anchor="page15">
        <w:r>
          <w:rPr>
            <w:rFonts w:ascii="宋体" w:cs="宋体" w:eastAsia="宋体" w:hAnsi="宋体"/>
            <w:sz w:val="24"/>
            <w:szCs w:val="24"/>
            <w:color w:val="auto"/>
          </w:rPr>
          <w:t>（一）固定界值法</w:t>
        </w:r>
      </w:hyperlink>
      <w:r>
        <w:rPr>
          <w:rFonts w:ascii="Times New Roman" w:cs="Times New Roman" w:eastAsia="Times New Roman" w:hAnsi="Times New Roman"/>
          <w:sz w:val="24"/>
          <w:szCs w:val="24"/>
          <w:color w:val="auto"/>
        </w:rPr>
        <w:tab/>
      </w:r>
      <w:hyperlink w:anchor="page15">
        <w:r>
          <w:rPr>
            <w:rFonts w:ascii="Times New Roman" w:cs="Times New Roman" w:eastAsia="Times New Roman" w:hAnsi="Times New Roman"/>
            <w:sz w:val="23"/>
            <w:szCs w:val="23"/>
            <w:color w:val="auto"/>
          </w:rPr>
          <w:t>13</w:t>
        </w:r>
      </w:hyperlink>
    </w:p>
    <w:p>
      <w:pPr>
        <w:spacing w:after="0" w:line="146" w:lineRule="exact"/>
        <w:rPr>
          <w:sz w:val="20"/>
          <w:szCs w:val="20"/>
          <w:color w:val="auto"/>
        </w:rPr>
      </w:pPr>
    </w:p>
    <w:p>
      <w:pPr>
        <w:ind w:left="780"/>
        <w:spacing w:after="0" w:line="320" w:lineRule="exact"/>
        <w:tabs>
          <w:tab w:leader="dot" w:pos="8400" w:val="left"/>
        </w:tabs>
        <w:rPr>
          <w:rFonts w:ascii="Times New Roman" w:cs="Times New Roman" w:eastAsia="Times New Roman" w:hAnsi="Times New Roman"/>
          <w:sz w:val="23"/>
          <w:szCs w:val="23"/>
          <w:color w:val="auto"/>
        </w:rPr>
      </w:pPr>
      <w:hyperlink w:anchor="page16">
        <w:r>
          <w:rPr>
            <w:rFonts w:ascii="宋体" w:cs="宋体" w:eastAsia="宋体" w:hAnsi="宋体"/>
            <w:sz w:val="24"/>
            <w:szCs w:val="24"/>
            <w:color w:val="auto"/>
          </w:rPr>
          <w:t>（二）综合法</w:t>
        </w:r>
      </w:hyperlink>
      <w:r>
        <w:rPr>
          <w:rFonts w:ascii="Times New Roman" w:cs="Times New Roman" w:eastAsia="Times New Roman" w:hAnsi="Times New Roman"/>
          <w:sz w:val="24"/>
          <w:szCs w:val="24"/>
          <w:color w:val="auto"/>
        </w:rPr>
        <w:tab/>
      </w:r>
      <w:hyperlink w:anchor="page16">
        <w:r>
          <w:rPr>
            <w:rFonts w:ascii="Times New Roman" w:cs="Times New Roman" w:eastAsia="Times New Roman" w:hAnsi="Times New Roman"/>
            <w:sz w:val="23"/>
            <w:szCs w:val="23"/>
            <w:color w:val="auto"/>
          </w:rPr>
          <w:t>14</w:t>
        </w:r>
      </w:hyperlink>
    </w:p>
    <w:p>
      <w:pPr>
        <w:sectPr>
          <w:pgSz w:w="11900" w:h="16838" w:orient="portrait"/>
          <w:cols w:equalWidth="0" w:num="1">
            <w:col w:w="9024"/>
          </w:cols>
          <w:pgMar w:left="1440" w:top="1440" w:right="1440" w:bottom="1440" w:gutter="0" w:footer="0" w:header="0"/>
        </w:sectPr>
      </w:pPr>
    </w:p>
    <w:bookmarkStart w:id="2" w:name="page3"/>
    <w:bookmarkEnd w:id="2"/>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2064385</wp:posOffset>
            </wp:positionH>
            <wp:positionV relativeFrom="page">
              <wp:posOffset>951230</wp:posOffset>
            </wp:positionV>
            <wp:extent cx="3659505" cy="26225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clrChange>
                        <a:clrFrom>
                          <a:srgbClr val="FFFFFF"/>
                        </a:clrFrom>
                        <a:clrTo>
                          <a:srgbClr val="FFFFFF">
                            <a:alpha val="0"/>
                          </a:srgbClr>
                        </a:clrTo>
                      </a:clrChange>
                      <a:extLst>
                        <a:ext uri="{28A0092B-C50C-407E-A947-70E740481C1C}"/>
                      </a:extLst>
                    </a:blip>
                    <a:srcRect/>
                    <a:stretch>
                      <a:fillRect/>
                    </a:stretch>
                  </pic:blipFill>
                  <pic:spPr bwMode="auto">
                    <a:xfrm>
                      <a:off x="0" y="0"/>
                      <a:ext cx="3659505" cy="26225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52" w:lineRule="exact"/>
        <w:rPr>
          <w:sz w:val="20"/>
          <w:szCs w:val="20"/>
          <w:color w:val="auto"/>
        </w:rPr>
      </w:pPr>
    </w:p>
    <w:p>
      <w:pPr>
        <w:ind w:left="1000"/>
        <w:spacing w:after="0" w:line="366" w:lineRule="exact"/>
        <w:rPr>
          <w:sz w:val="20"/>
          <w:szCs w:val="20"/>
          <w:color w:val="auto"/>
        </w:rPr>
      </w:pPr>
      <w:r>
        <w:rPr>
          <w:rFonts w:ascii="黑体" w:cs="黑体" w:eastAsia="黑体" w:hAnsi="黑体"/>
          <w:sz w:val="32"/>
          <w:szCs w:val="32"/>
          <w:color w:val="auto"/>
        </w:rPr>
        <w:t>一、概述</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当确证某个药物疗效时，优效试验（如证明试验药与安</w:t>
      </w:r>
    </w:p>
    <w:p>
      <w:pPr>
        <w:spacing w:after="0" w:line="266"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慰剂或阳性药相比较的优效性）一般是理想选择。当优效试</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验不适用，比如使用安慰剂对照不符合伦理要求时，可考虑</w:t>
      </w:r>
    </w:p>
    <w:p>
      <w:pPr>
        <w:spacing w:after="0" w:line="270"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采用非劣效试验。非劣效试验是为了确证试验药的临床疗效，</w:t>
      </w:r>
    </w:p>
    <w:p>
      <w:pPr>
        <w:spacing w:after="0" w:line="266"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即使低于阳性对照药，但其差异也是在临床可接受范围之内。</w:t>
      </w:r>
    </w:p>
    <w:p>
      <w:pPr>
        <w:spacing w:after="0" w:line="270" w:lineRule="exact"/>
        <w:rPr>
          <w:sz w:val="20"/>
          <w:szCs w:val="20"/>
          <w:color w:val="auto"/>
        </w:rPr>
      </w:pPr>
    </w:p>
    <w:p>
      <w:pPr>
        <w:ind w:left="1000"/>
        <w:spacing w:after="0" w:line="354" w:lineRule="exact"/>
        <w:rPr>
          <w:sz w:val="20"/>
          <w:szCs w:val="20"/>
          <w:color w:val="auto"/>
        </w:rPr>
      </w:pPr>
      <w:r>
        <w:rPr>
          <w:rFonts w:ascii="宋体" w:cs="宋体" w:eastAsia="宋体" w:hAnsi="宋体"/>
          <w:sz w:val="31"/>
          <w:szCs w:val="31"/>
          <w:color w:val="auto"/>
        </w:rPr>
        <w:t>本指导原则旨在阐述非劣效试验的应用条件、设计要点、</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非劣效界值设定、统计推断以及其他监管考虑等方面内容，</w:t>
      </w:r>
    </w:p>
    <w:p>
      <w:pPr>
        <w:spacing w:after="0" w:line="266"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以指导临床试验各相关方能够正确地认识、实施和评价非劣</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效试验。本指导原则主要适用于支持药品注册上市的确证性</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临床试验，也可供探索性临床试验参考使用。</w:t>
      </w:r>
    </w:p>
    <w:p>
      <w:pPr>
        <w:spacing w:after="0" w:line="255" w:lineRule="exact"/>
        <w:rPr>
          <w:sz w:val="20"/>
          <w:szCs w:val="20"/>
          <w:color w:val="auto"/>
        </w:rPr>
      </w:pPr>
    </w:p>
    <w:p>
      <w:pPr>
        <w:ind w:left="1000"/>
        <w:spacing w:after="0" w:line="366" w:lineRule="exact"/>
        <w:rPr>
          <w:sz w:val="20"/>
          <w:szCs w:val="20"/>
          <w:color w:val="auto"/>
        </w:rPr>
      </w:pPr>
      <w:r>
        <w:rPr>
          <w:rFonts w:ascii="黑体" w:cs="黑体" w:eastAsia="黑体" w:hAnsi="黑体"/>
          <w:sz w:val="32"/>
          <w:szCs w:val="32"/>
          <w:color w:val="auto"/>
        </w:rPr>
        <w:t>二、应用条件</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非劣效试验以阳性药作为对照，目的是确证虽然试验药</w:t>
      </w:r>
    </w:p>
    <w:p>
      <w:pPr>
        <w:spacing w:after="0" w:line="271"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的疗效低于阳性对照药的疗效，但差异在可接受的范围之内。</w:t>
      </w:r>
    </w:p>
    <w:p>
      <w:pPr>
        <w:spacing w:after="0" w:line="254" w:lineRule="exact"/>
        <w:rPr>
          <w:sz w:val="20"/>
          <w:szCs w:val="20"/>
          <w:color w:val="auto"/>
        </w:rPr>
      </w:pPr>
    </w:p>
    <w:p>
      <w:pPr>
        <w:jc w:val="center"/>
        <w:ind w:right="4"/>
        <w:spacing w:after="0" w:line="366" w:lineRule="exact"/>
        <w:rPr>
          <w:sz w:val="20"/>
          <w:szCs w:val="20"/>
          <w:color w:val="auto"/>
        </w:rPr>
      </w:pPr>
      <w:r>
        <w:rPr>
          <w:rFonts w:ascii="宋体" w:cs="宋体" w:eastAsia="宋体" w:hAnsi="宋体"/>
          <w:sz w:val="32"/>
          <w:szCs w:val="32"/>
          <w:color w:val="auto"/>
        </w:rPr>
        <w:t>非劣效试验中阳性对照药相对于安慰剂的疗效无法在本试</w:t>
      </w:r>
    </w:p>
    <w:p>
      <w:pPr>
        <w:spacing w:after="0" w:line="270" w:lineRule="exact"/>
        <w:rPr>
          <w:sz w:val="20"/>
          <w:szCs w:val="20"/>
          <w:color w:val="auto"/>
        </w:rPr>
      </w:pPr>
    </w:p>
    <w:p>
      <w:pPr>
        <w:jc w:val="center"/>
        <w:ind w:right="-15"/>
        <w:spacing w:after="0" w:line="354" w:lineRule="exact"/>
        <w:rPr>
          <w:sz w:val="20"/>
          <w:szCs w:val="20"/>
          <w:color w:val="auto"/>
        </w:rPr>
      </w:pPr>
      <w:r>
        <w:rPr>
          <w:rFonts w:ascii="宋体" w:cs="宋体" w:eastAsia="宋体" w:hAnsi="宋体"/>
          <w:sz w:val="31"/>
          <w:szCs w:val="31"/>
          <w:color w:val="auto"/>
        </w:rPr>
        <w:t>验中直接观察，因此需要假定阳性对照药有确切的疗效。非</w:t>
      </w:r>
    </w:p>
    <w:p>
      <w:pPr>
        <w:spacing w:after="0" w:line="271"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劣效试验应确保具有足够的检定敏感性，即具有区分阳性对</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照药为有效、低效或无效的能力。关于检定敏感性的详细阐</w:t>
      </w:r>
    </w:p>
    <w:p>
      <w:pPr>
        <w:spacing w:after="0" w:line="255"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述可参考</w:t>
      </w:r>
      <w:r>
        <w:rPr>
          <w:rFonts w:ascii="Times New Roman" w:cs="Times New Roman" w:eastAsia="Times New Roman" w:hAnsi="Times New Roman"/>
          <w:sz w:val="32"/>
          <w:szCs w:val="32"/>
          <w:color w:val="auto"/>
        </w:rPr>
        <w:t xml:space="preserve"> ICH E10</w:t>
      </w:r>
      <w:r>
        <w:rPr>
          <w:rFonts w:ascii="宋体" w:cs="宋体" w:eastAsia="宋体" w:hAnsi="宋体"/>
          <w:sz w:val="32"/>
          <w:szCs w:val="32"/>
          <w:color w:val="auto"/>
        </w:rPr>
        <w:t>《临床试验中对照组的选择和相关问题》。</w:t>
      </w:r>
    </w:p>
    <w:p>
      <w:pPr>
        <w:spacing w:after="0" w:line="235"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要确保非劣效试验具有一定的敏感性，应着重考虑以下</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三个方面：</w:t>
      </w:r>
    </w:p>
    <w:p>
      <w:pPr>
        <w:spacing w:after="0" w:line="200" w:lineRule="exact"/>
        <w:rPr>
          <w:sz w:val="20"/>
          <w:szCs w:val="20"/>
          <w:color w:val="auto"/>
        </w:rPr>
      </w:pPr>
    </w:p>
    <w:p>
      <w:pPr>
        <w:spacing w:after="0" w:line="210"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1</w:t>
      </w:r>
    </w:p>
    <w:p>
      <w:pPr>
        <w:sectPr>
          <w:pgSz w:w="11900" w:h="16838" w:orient="portrait"/>
          <w:cols w:equalWidth="0" w:num="1">
            <w:col w:w="9024"/>
          </w:cols>
          <w:pgMar w:left="1440" w:top="1440" w:right="1440" w:bottom="433" w:gutter="0" w:footer="0" w:header="0"/>
        </w:sectPr>
      </w:pPr>
    </w:p>
    <w:bookmarkStart w:id="3" w:name="page4"/>
    <w:bookmarkEnd w:id="3"/>
    <w:p>
      <w:pPr>
        <w:spacing w:after="0" w:line="1"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（一）阳性对照药疗效的既往证据</w:t>
      </w:r>
    </w:p>
    <w:p>
      <w:pPr>
        <w:spacing w:after="0" w:line="305" w:lineRule="exact"/>
        <w:rPr>
          <w:sz w:val="20"/>
          <w:szCs w:val="20"/>
          <w:color w:val="auto"/>
        </w:rPr>
      </w:pPr>
    </w:p>
    <w:p>
      <w:pPr>
        <w:jc w:val="both"/>
        <w:ind w:left="360" w:right="364" w:firstLine="638"/>
        <w:spacing w:after="0" w:line="560" w:lineRule="exact"/>
        <w:rPr>
          <w:sz w:val="20"/>
          <w:szCs w:val="20"/>
          <w:color w:val="auto"/>
        </w:rPr>
      </w:pPr>
      <w:r>
        <w:rPr>
          <w:rFonts w:ascii="宋体" w:cs="宋体" w:eastAsia="宋体" w:hAnsi="宋体"/>
          <w:sz w:val="31"/>
          <w:szCs w:val="31"/>
          <w:color w:val="auto"/>
        </w:rPr>
        <w:t>通常阳性对照药相对于安慰剂的疗效差异来源于已知的、具有良好设计和实施的临床试验结果。根据这些既往试验，在充分考虑不同试验结果变异程度的基础上，可以估计出较为可靠的阳性对照药相对于安慰剂的疗效差异，该疗效差异是非劣效试验中用于确定非劣效界值的关键参数。</w:t>
      </w:r>
    </w:p>
    <w:p>
      <w:pPr>
        <w:spacing w:after="0" w:line="312" w:lineRule="exact"/>
        <w:rPr>
          <w:sz w:val="20"/>
          <w:szCs w:val="20"/>
          <w:color w:val="auto"/>
        </w:rPr>
      </w:pPr>
    </w:p>
    <w:p>
      <w:pPr>
        <w:ind w:left="360" w:right="44" w:firstLine="638"/>
        <w:spacing w:after="0" w:line="572" w:lineRule="exact"/>
        <w:rPr>
          <w:sz w:val="20"/>
          <w:szCs w:val="20"/>
          <w:color w:val="auto"/>
        </w:rPr>
      </w:pPr>
      <w:r>
        <w:rPr>
          <w:rFonts w:ascii="宋体" w:cs="宋体" w:eastAsia="宋体" w:hAnsi="宋体"/>
          <w:sz w:val="32"/>
          <w:szCs w:val="32"/>
          <w:color w:val="auto"/>
        </w:rPr>
        <w:t>对于某些症状性治疗或一些适应症，如精神类适应症等，在既往试验中难以获得阳性对照药相对于安慰剂的稳健疗效差异，若使用该阳性对照药进行非劣效试验，则很难确证试验药的疗效。因此，对于这些疾病领域，谨慎使用非劣效试验，或者在伦理许可的前提下采用包含安慰剂的三臂非劣效试验。</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（二）恒定假设</w:t>
      </w:r>
    </w:p>
    <w:p>
      <w:pPr>
        <w:spacing w:after="0" w:line="305" w:lineRule="exact"/>
        <w:rPr>
          <w:sz w:val="20"/>
          <w:szCs w:val="20"/>
          <w:color w:val="auto"/>
        </w:rPr>
      </w:pPr>
    </w:p>
    <w:p>
      <w:pPr>
        <w:ind w:left="360" w:right="24" w:firstLine="638"/>
        <w:spacing w:after="0" w:line="589" w:lineRule="exact"/>
        <w:rPr>
          <w:sz w:val="20"/>
          <w:szCs w:val="20"/>
          <w:color w:val="auto"/>
        </w:rPr>
      </w:pPr>
      <w:r>
        <w:rPr>
          <w:rFonts w:ascii="宋体" w:cs="宋体" w:eastAsia="宋体" w:hAnsi="宋体"/>
          <w:sz w:val="32"/>
          <w:szCs w:val="32"/>
          <w:color w:val="auto"/>
        </w:rPr>
        <w:t>阳性对照药相对于安慰剂的疗效差异估计多源于既往临床试验，因此在非劣效试验中应尽可能确保阳性对照药的疗效与既往临床试验保持一致，即满足恒定假设。恒定假设会受到很多因素的影响，诸如既往试验中的受试人群、是否有合并用药、疗效指标的定义与判定、阳性对照药的剂量、耐药性以及统计分析方法等。如果随着年代迁移，所治疗疾病的定义、诊断标准及其治疗方法等已经发生变化，则会影响恒定假设的成立，进而导致非劣效试验的检定敏感性不足，难以解释试验结果。因此，当恒定假设难以验证时，谨慎使</w:t>
      </w:r>
    </w:p>
    <w:p>
      <w:pPr>
        <w:spacing w:after="0" w:line="200" w:lineRule="exact"/>
        <w:rPr>
          <w:sz w:val="20"/>
          <w:szCs w:val="20"/>
          <w:color w:val="auto"/>
        </w:rPr>
      </w:pPr>
    </w:p>
    <w:p>
      <w:pPr>
        <w:spacing w:after="0" w:line="200" w:lineRule="exact"/>
        <w:rPr>
          <w:sz w:val="20"/>
          <w:szCs w:val="20"/>
          <w:color w:val="auto"/>
        </w:rPr>
      </w:pPr>
    </w:p>
    <w:p>
      <w:pPr>
        <w:spacing w:after="0" w:line="342"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2</w:t>
      </w:r>
    </w:p>
    <w:p>
      <w:pPr>
        <w:sectPr>
          <w:pgSz w:w="11900" w:h="16838" w:orient="portrait"/>
          <w:cols w:equalWidth="0" w:num="1">
            <w:col w:w="9024"/>
          </w:cols>
          <w:pgMar w:left="1440" w:top="1440" w:right="1440" w:bottom="433" w:gutter="0" w:footer="0" w:header="0"/>
        </w:sectPr>
      </w:pPr>
    </w:p>
    <w:bookmarkStart w:id="4" w:name="page5"/>
    <w:bookmarkEnd w:id="4"/>
    <w:p>
      <w:pPr>
        <w:spacing w:after="0" w:line="1"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用非劣效试验。</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（三）良好的研究质量</w:t>
      </w:r>
    </w:p>
    <w:p>
      <w:pPr>
        <w:spacing w:after="0" w:line="255"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临床试验质量是非劣效试验具有足够的检定敏感性的</w:t>
      </w:r>
    </w:p>
    <w:p>
      <w:pPr>
        <w:spacing w:after="0" w:line="270"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基础。各种试验质量缺陷，包括偏离方案中规定的入组标准、</w:t>
      </w:r>
    </w:p>
    <w:p>
      <w:pPr>
        <w:spacing w:after="0" w:line="282" w:lineRule="exact"/>
        <w:rPr>
          <w:sz w:val="20"/>
          <w:szCs w:val="20"/>
          <w:color w:val="auto"/>
        </w:rPr>
      </w:pPr>
    </w:p>
    <w:p>
      <w:pPr>
        <w:jc w:val="center"/>
        <w:ind w:right="4"/>
        <w:spacing w:after="0" w:line="343" w:lineRule="exact"/>
        <w:rPr>
          <w:sz w:val="20"/>
          <w:szCs w:val="20"/>
          <w:color w:val="auto"/>
        </w:rPr>
      </w:pPr>
      <w:r>
        <w:rPr>
          <w:rFonts w:ascii="宋体" w:cs="宋体" w:eastAsia="宋体" w:hAnsi="宋体"/>
          <w:sz w:val="30"/>
          <w:szCs w:val="30"/>
          <w:color w:val="auto"/>
        </w:rPr>
        <w:t>依从性差、合用影响疗效评价的药物、测量偏倚、分组错误、</w:t>
      </w:r>
    </w:p>
    <w:p>
      <w:pPr>
        <w:spacing w:after="0" w:line="266" w:lineRule="exact"/>
        <w:rPr>
          <w:sz w:val="20"/>
          <w:szCs w:val="20"/>
          <w:color w:val="auto"/>
        </w:rPr>
      </w:pPr>
    </w:p>
    <w:p>
      <w:pPr>
        <w:jc w:val="center"/>
        <w:ind w:right="-15"/>
        <w:spacing w:after="0" w:line="354" w:lineRule="exact"/>
        <w:rPr>
          <w:sz w:val="20"/>
          <w:szCs w:val="20"/>
          <w:color w:val="auto"/>
        </w:rPr>
      </w:pPr>
      <w:r>
        <w:rPr>
          <w:rFonts w:ascii="宋体" w:cs="宋体" w:eastAsia="宋体" w:hAnsi="宋体"/>
          <w:sz w:val="31"/>
          <w:szCs w:val="31"/>
          <w:color w:val="auto"/>
        </w:rPr>
        <w:t>受试者脱落率高等，都有可能导致试验药与阳性对照药的疗</w:t>
      </w:r>
    </w:p>
    <w:p>
      <w:pPr>
        <w:spacing w:after="0" w:line="270"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效差异估计出现偏倚。这些试验质量缺陷在优效试验中通常</w:t>
      </w:r>
    </w:p>
    <w:p>
      <w:pPr>
        <w:spacing w:after="0" w:line="271"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不利于优效结论成立，但在非劣效试验中却可能有利于非劣</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效结论成立。因此，在非劣效试验的设计和实施阶段保证研</w:t>
      </w:r>
    </w:p>
    <w:p>
      <w:pPr>
        <w:spacing w:after="0" w:line="255"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究质量尤为重要。</w:t>
      </w:r>
    </w:p>
    <w:p>
      <w:pPr>
        <w:spacing w:after="0" w:line="259" w:lineRule="exact"/>
        <w:rPr>
          <w:sz w:val="20"/>
          <w:szCs w:val="20"/>
          <w:color w:val="auto"/>
        </w:rPr>
      </w:pPr>
    </w:p>
    <w:p>
      <w:pPr>
        <w:ind w:left="1000"/>
        <w:spacing w:after="0" w:line="366" w:lineRule="exact"/>
        <w:rPr>
          <w:sz w:val="20"/>
          <w:szCs w:val="20"/>
          <w:color w:val="auto"/>
        </w:rPr>
      </w:pPr>
      <w:r>
        <w:rPr>
          <w:rFonts w:ascii="黑体" w:cs="黑体" w:eastAsia="黑体" w:hAnsi="黑体"/>
          <w:sz w:val="32"/>
          <w:szCs w:val="32"/>
          <w:color w:val="auto"/>
        </w:rPr>
        <w:t>三、设计要点</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临床试验设计时，要考虑试验目的、研究人群、对照选</w:t>
      </w:r>
    </w:p>
    <w:p>
      <w:pPr>
        <w:spacing w:after="0" w:line="266"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择、评价指标、统计假设、样本量、数据分析和解读方法等</w:t>
      </w:r>
    </w:p>
    <w:p>
      <w:pPr>
        <w:spacing w:after="0" w:line="271" w:lineRule="exact"/>
        <w:rPr>
          <w:sz w:val="20"/>
          <w:szCs w:val="20"/>
          <w:color w:val="auto"/>
        </w:rPr>
      </w:pPr>
    </w:p>
    <w:p>
      <w:pPr>
        <w:jc w:val="center"/>
        <w:ind w:right="-15"/>
        <w:spacing w:after="0" w:line="378" w:lineRule="exact"/>
        <w:rPr>
          <w:sz w:val="20"/>
          <w:szCs w:val="20"/>
          <w:color w:val="auto"/>
        </w:rPr>
      </w:pPr>
      <w:r>
        <w:rPr>
          <w:rFonts w:ascii="宋体" w:cs="宋体" w:eastAsia="宋体" w:hAnsi="宋体"/>
          <w:sz w:val="31"/>
          <w:szCs w:val="31"/>
          <w:color w:val="auto"/>
        </w:rPr>
        <w:t>要点。对于其他指导原则（如</w:t>
      </w:r>
      <w:r>
        <w:rPr>
          <w:rFonts w:ascii="Times New Roman" w:cs="Times New Roman" w:eastAsia="Times New Roman" w:hAnsi="Times New Roman"/>
          <w:sz w:val="31"/>
          <w:szCs w:val="31"/>
          <w:color w:val="auto"/>
        </w:rPr>
        <w:t xml:space="preserve"> ICH </w:t>
      </w:r>
      <w:r>
        <w:rPr>
          <w:rFonts w:ascii="宋体" w:cs="宋体" w:eastAsia="宋体" w:hAnsi="宋体"/>
          <w:sz w:val="31"/>
          <w:szCs w:val="31"/>
          <w:color w:val="auto"/>
        </w:rPr>
        <w:t>相关指导原则和我国发布</w:t>
      </w:r>
    </w:p>
    <w:p>
      <w:pPr>
        <w:spacing w:after="0" w:line="258" w:lineRule="exact"/>
        <w:rPr>
          <w:sz w:val="20"/>
          <w:szCs w:val="20"/>
          <w:color w:val="auto"/>
        </w:rPr>
      </w:pPr>
    </w:p>
    <w:p>
      <w:pPr>
        <w:jc w:val="center"/>
        <w:ind w:right="4"/>
        <w:spacing w:after="0" w:line="343" w:lineRule="exact"/>
        <w:rPr>
          <w:sz w:val="20"/>
          <w:szCs w:val="20"/>
          <w:color w:val="auto"/>
        </w:rPr>
      </w:pPr>
      <w:r>
        <w:rPr>
          <w:rFonts w:ascii="宋体" w:cs="宋体" w:eastAsia="宋体" w:hAnsi="宋体"/>
          <w:sz w:val="30"/>
          <w:szCs w:val="30"/>
          <w:color w:val="auto"/>
        </w:rPr>
        <w:t>的《药物临床试验的生物统计学指导原则》）涉及到的临床试</w:t>
      </w:r>
    </w:p>
    <w:p>
      <w:pPr>
        <w:spacing w:after="0" w:line="266"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验设计通用内容，在试验设计时应遵循，本指导原则不再赘</w:t>
      </w:r>
    </w:p>
    <w:p>
      <w:pPr>
        <w:spacing w:after="0" w:line="270"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述。本指导原则着重阐述非劣效试验特有的设计要点，包括</w:t>
      </w:r>
    </w:p>
    <w:p>
      <w:pPr>
        <w:spacing w:after="0" w:line="271"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统计假设（其中非劣效界值在第四章中阐述）、阳性对照药的</w:t>
      </w:r>
    </w:p>
    <w:p>
      <w:pPr>
        <w:spacing w:after="0" w:line="254"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选择和分析人群。</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（一）统计假设</w:t>
      </w:r>
    </w:p>
    <w:p>
      <w:pPr>
        <w:spacing w:after="0" w:line="260"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试验方案中应明确非劣效统计假设。对于不同度量和指</w:t>
      </w:r>
    </w:p>
    <w:p>
      <w:pPr>
        <w:spacing w:after="0" w:line="254"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标类型，非劣效试验统计假设的表述会有所不同，见表</w:t>
      </w:r>
      <w:r>
        <w:rPr>
          <w:rFonts w:ascii="Times New Roman" w:cs="Times New Roman" w:eastAsia="Times New Roman" w:hAnsi="Times New Roman"/>
          <w:sz w:val="32"/>
          <w:szCs w:val="32"/>
          <w:color w:val="auto"/>
        </w:rPr>
        <w:t xml:space="preserve"> 1</w:t>
      </w:r>
      <w:r>
        <w:rPr>
          <w:rFonts w:ascii="宋体" w:cs="宋体" w:eastAsia="宋体" w:hAnsi="宋体"/>
          <w:sz w:val="32"/>
          <w:szCs w:val="32"/>
          <w:color w:val="auto"/>
        </w:rPr>
        <w:t>。</w:t>
      </w:r>
    </w:p>
    <w:p>
      <w:pPr>
        <w:spacing w:after="0" w:line="200" w:lineRule="exact"/>
        <w:rPr>
          <w:sz w:val="20"/>
          <w:szCs w:val="20"/>
          <w:color w:val="auto"/>
        </w:rPr>
      </w:pPr>
    </w:p>
    <w:p>
      <w:pPr>
        <w:spacing w:after="0" w:line="200" w:lineRule="exact"/>
        <w:rPr>
          <w:sz w:val="20"/>
          <w:szCs w:val="20"/>
          <w:color w:val="auto"/>
        </w:rPr>
      </w:pPr>
    </w:p>
    <w:p>
      <w:pPr>
        <w:spacing w:after="0" w:line="317"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3</w:t>
      </w:r>
    </w:p>
    <w:p>
      <w:pPr>
        <w:sectPr>
          <w:pgSz w:w="11900" w:h="16838" w:orient="portrait"/>
          <w:cols w:equalWidth="0" w:num="1">
            <w:col w:w="9024"/>
          </w:cols>
          <w:pgMar w:left="1440" w:top="1440" w:right="1440" w:bottom="433" w:gutter="0" w:footer="0" w:header="0"/>
        </w:sectPr>
      </w:pPr>
    </w:p>
    <w:bookmarkStart w:id="5" w:name="page6"/>
    <w:bookmarkEnd w:id="5"/>
    <w:p>
      <w:pPr>
        <w:spacing w:after="0" w:line="6"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原假设（</w:t>
      </w:r>
      <w:r>
        <w:rPr>
          <w:rFonts w:ascii="Times New Roman" w:cs="Times New Roman" w:eastAsia="Times New Roman" w:hAnsi="Times New Roman"/>
          <w:sz w:val="32"/>
          <w:szCs w:val="32"/>
          <w:color w:val="auto"/>
        </w:rPr>
        <w:t>H</w:t>
      </w:r>
      <w:r>
        <w:rPr>
          <w:rFonts w:ascii="Times New Roman" w:cs="Times New Roman" w:eastAsia="Times New Roman" w:hAnsi="Times New Roman"/>
          <w:sz w:val="21"/>
          <w:szCs w:val="21"/>
          <w:color w:val="auto"/>
        </w:rPr>
        <w:t>0</w:t>
      </w:r>
      <w:r>
        <w:rPr>
          <w:rFonts w:ascii="宋体" w:cs="宋体" w:eastAsia="宋体" w:hAnsi="宋体"/>
          <w:sz w:val="32"/>
          <w:szCs w:val="32"/>
          <w:color w:val="auto"/>
        </w:rPr>
        <w:t>）对应为劣效，备择假设（</w:t>
      </w:r>
      <w:r>
        <w:rPr>
          <w:rFonts w:ascii="Times New Roman" w:cs="Times New Roman" w:eastAsia="Times New Roman" w:hAnsi="Times New Roman"/>
          <w:sz w:val="32"/>
          <w:szCs w:val="32"/>
          <w:color w:val="auto"/>
        </w:rPr>
        <w:t>H</w:t>
      </w:r>
      <w:r>
        <w:rPr>
          <w:rFonts w:ascii="Times New Roman" w:cs="Times New Roman" w:eastAsia="Times New Roman" w:hAnsi="Times New Roman"/>
          <w:sz w:val="21"/>
          <w:szCs w:val="21"/>
          <w:color w:val="auto"/>
        </w:rPr>
        <w:t>1</w:t>
      </w:r>
      <w:r>
        <w:rPr>
          <w:rFonts w:ascii="宋体" w:cs="宋体" w:eastAsia="宋体" w:hAnsi="宋体"/>
          <w:sz w:val="32"/>
          <w:szCs w:val="32"/>
          <w:color w:val="auto"/>
        </w:rPr>
        <w:t>）对应为非劣效，</w:t>
      </w:r>
    </w:p>
    <w:p>
      <w:pPr>
        <w:spacing w:after="0" w:line="276" w:lineRule="exact"/>
        <w:rPr>
          <w:sz w:val="20"/>
          <w:szCs w:val="20"/>
          <w:color w:val="auto"/>
        </w:rPr>
      </w:pPr>
    </w:p>
    <w:p>
      <w:pPr>
        <w:jc w:val="both"/>
        <w:ind w:left="360" w:right="364" w:firstLine="1"/>
        <w:spacing w:after="0" w:line="546" w:lineRule="exact"/>
        <w:tabs>
          <w:tab w:leader="none" w:pos="706" w:val="left"/>
        </w:tabs>
        <w:numPr>
          <w:ilvl w:val="0"/>
          <w:numId w:val="1"/>
        </w:numPr>
        <w:rPr>
          <w:rFonts w:ascii="Times New Roman" w:cs="Times New Roman" w:eastAsia="Times New Roman" w:hAnsi="Times New Roman"/>
          <w:sz w:val="32"/>
          <w:szCs w:val="32"/>
          <w:i w:val="1"/>
          <w:iCs w:val="1"/>
          <w:color w:val="auto"/>
        </w:rPr>
      </w:pPr>
      <w:r>
        <w:rPr>
          <w:rFonts w:ascii="宋体" w:cs="宋体" w:eastAsia="宋体" w:hAnsi="宋体"/>
          <w:sz w:val="32"/>
          <w:szCs w:val="32"/>
          <w:color w:val="auto"/>
        </w:rPr>
        <w:t>为非劣效界值，绝对度量指标包括均值差和率差等，相对度量指标包括率比、风险比、比值比等，高优指标是其值越大表明疗效越好的指标，低优指标是其值越小表明疗效越好的指标。</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0" w:lineRule="exact"/>
        <w:rPr>
          <w:sz w:val="20"/>
          <w:szCs w:val="20"/>
          <w:color w:val="auto"/>
        </w:rPr>
      </w:pPr>
    </w:p>
    <w:p>
      <w:pPr>
        <w:jc w:val="center"/>
        <w:ind w:right="4"/>
        <w:spacing w:after="0" w:line="390" w:lineRule="exact"/>
        <w:tabs>
          <w:tab w:leader="none" w:pos="280" w:val="left"/>
        </w:tabs>
        <w:rPr>
          <w:sz w:val="20"/>
          <w:szCs w:val="20"/>
          <w:color w:val="auto"/>
        </w:rPr>
      </w:pPr>
      <w:r>
        <w:rPr>
          <w:rFonts w:ascii="宋体" w:cs="宋体" w:eastAsia="宋体" w:hAnsi="宋体"/>
          <w:sz w:val="32"/>
          <w:szCs w:val="32"/>
          <w:b w:val="1"/>
          <w:bCs w:val="1"/>
          <w:color w:val="auto"/>
        </w:rPr>
        <w:t>表</w:t>
      </w:r>
      <w:r>
        <w:rPr>
          <w:rFonts w:ascii="Times New Roman" w:cs="Times New Roman" w:eastAsia="Times New Roman" w:hAnsi="Times New Roman"/>
          <w:sz w:val="32"/>
          <w:szCs w:val="32"/>
          <w:b w:val="1"/>
          <w:bCs w:val="1"/>
          <w:color w:val="auto"/>
        </w:rPr>
        <w:t xml:space="preserve"> 1</w:t>
      </w:r>
      <w:r>
        <w:rPr>
          <w:sz w:val="20"/>
          <w:szCs w:val="20"/>
          <w:color w:val="auto"/>
        </w:rPr>
        <w:tab/>
      </w:r>
      <w:r>
        <w:rPr>
          <w:rFonts w:ascii="宋体" w:cs="宋体" w:eastAsia="宋体" w:hAnsi="宋体"/>
          <w:sz w:val="32"/>
          <w:szCs w:val="32"/>
          <w:b w:val="1"/>
          <w:bCs w:val="1"/>
          <w:color w:val="auto"/>
        </w:rPr>
        <w:t>非劣效试验的原假设（</w:t>
      </w:r>
      <w:r>
        <w:rPr>
          <w:rFonts w:ascii="Times New Roman" w:cs="Times New Roman" w:eastAsia="Times New Roman" w:hAnsi="Times New Roman"/>
          <w:sz w:val="32"/>
          <w:szCs w:val="32"/>
          <w:b w:val="1"/>
          <w:bCs w:val="1"/>
          <w:color w:val="auto"/>
        </w:rPr>
        <w:t>H</w:t>
      </w:r>
      <w:r>
        <w:rPr>
          <w:rFonts w:ascii="Times New Roman" w:cs="Times New Roman" w:eastAsia="Times New Roman" w:hAnsi="Times New Roman"/>
          <w:sz w:val="21"/>
          <w:szCs w:val="21"/>
          <w:b w:val="1"/>
          <w:bCs w:val="1"/>
          <w:color w:val="auto"/>
        </w:rPr>
        <w:t>0</w:t>
      </w:r>
      <w:r>
        <w:rPr>
          <w:rFonts w:ascii="宋体" w:cs="宋体" w:eastAsia="宋体" w:hAnsi="宋体"/>
          <w:sz w:val="32"/>
          <w:szCs w:val="32"/>
          <w:b w:val="1"/>
          <w:bCs w:val="1"/>
          <w:color w:val="auto"/>
        </w:rPr>
        <w:t>）和备择假设（</w:t>
      </w:r>
      <w:r>
        <w:rPr>
          <w:rFonts w:ascii="Times New Roman" w:cs="Times New Roman" w:eastAsia="Times New Roman" w:hAnsi="Times New Roman"/>
          <w:sz w:val="32"/>
          <w:szCs w:val="32"/>
          <w:b w:val="1"/>
          <w:bCs w:val="1"/>
          <w:color w:val="auto"/>
        </w:rPr>
        <w:t>H</w:t>
      </w:r>
      <w:r>
        <w:rPr>
          <w:rFonts w:ascii="Times New Roman" w:cs="Times New Roman" w:eastAsia="Times New Roman" w:hAnsi="Times New Roman"/>
          <w:sz w:val="21"/>
          <w:szCs w:val="21"/>
          <w:b w:val="1"/>
          <w:bCs w:val="1"/>
          <w:color w:val="auto"/>
        </w:rPr>
        <w:t>1</w:t>
      </w:r>
      <w:r>
        <w:rPr>
          <w:rFonts w:ascii="宋体" w:cs="宋体" w:eastAsia="宋体" w:hAnsi="宋体"/>
          <w:sz w:val="32"/>
          <w:szCs w:val="32"/>
          <w:b w:val="1"/>
          <w:bCs w:val="1"/>
          <w:color w:val="auto"/>
        </w:rPr>
        <w:t>）</w:t>
      </w:r>
      <w:r>
        <w:rPr>
          <w:rFonts w:ascii="Times New Roman" w:cs="Times New Roman" w:eastAsia="Times New Roman" w:hAnsi="Times New Roman"/>
          <w:sz w:val="32"/>
          <w:szCs w:val="32"/>
          <w:b w:val="1"/>
          <w:bCs w:val="1"/>
          <w:color w:val="auto"/>
        </w:rPr>
        <w:t>*</w:t>
      </w:r>
    </w:p>
    <w:p>
      <w:pPr>
        <w:spacing w:after="0" w:line="215" w:lineRule="exact"/>
        <w:rPr>
          <w:sz w:val="20"/>
          <w:szCs w:val="20"/>
          <w:color w:val="auto"/>
        </w:rPr>
      </w:pPr>
    </w:p>
    <w:tbl>
      <w:tblPr>
        <w:tblLayout w:type="fixed"/>
        <w:tblInd w:w="370" w:type="dxa"/>
        <w:tblCellMar>
          <w:top w:w="0" w:type="dxa"/>
          <w:left w:w="0" w:type="dxa"/>
          <w:bottom w:w="0" w:type="dxa"/>
          <w:right w:w="0" w:type="dxa"/>
        </w:tblCellMar>
      </w:tblPr>
      <w:tr>
        <w:trPr>
          <w:trHeight w:val="326"/>
        </w:trPr>
        <w:tc>
          <w:tcPr>
            <w:tcW w:w="1440" w:type="dxa"/>
            <w:vAlign w:val="bottom"/>
            <w:tcBorders>
              <w:top w:val="single" w:sz="8" w:color="auto"/>
              <w:left w:val="single" w:sz="8" w:color="auto"/>
              <w:right w:val="single" w:sz="8" w:color="auto"/>
            </w:tcBorders>
          </w:tcPr>
          <w:p>
            <w:pPr>
              <w:ind w:left="160"/>
              <w:spacing w:after="0" w:line="320" w:lineRule="exact"/>
              <w:rPr>
                <w:sz w:val="20"/>
                <w:szCs w:val="20"/>
                <w:color w:val="auto"/>
              </w:rPr>
            </w:pPr>
            <w:r>
              <w:rPr>
                <w:rFonts w:ascii="宋体" w:cs="宋体" w:eastAsia="宋体" w:hAnsi="宋体"/>
                <w:sz w:val="28"/>
                <w:szCs w:val="28"/>
                <w:color w:val="auto"/>
              </w:rPr>
              <w:t>指标类型</w:t>
            </w:r>
          </w:p>
        </w:tc>
        <w:tc>
          <w:tcPr>
            <w:tcW w:w="3500" w:type="dxa"/>
            <w:vAlign w:val="bottom"/>
            <w:tcBorders>
              <w:top w:val="single" w:sz="8" w:color="auto"/>
              <w:right w:val="single" w:sz="8" w:color="auto"/>
            </w:tcBorders>
          </w:tcPr>
          <w:p>
            <w:pPr>
              <w:jc w:val="center"/>
              <w:spacing w:after="0" w:line="320" w:lineRule="exact"/>
              <w:rPr>
                <w:sz w:val="20"/>
                <w:szCs w:val="20"/>
                <w:color w:val="auto"/>
              </w:rPr>
            </w:pPr>
            <w:r>
              <w:rPr>
                <w:rFonts w:ascii="宋体" w:cs="宋体" w:eastAsia="宋体" w:hAnsi="宋体"/>
                <w:sz w:val="28"/>
                <w:szCs w:val="28"/>
                <w:color w:val="auto"/>
                <w:w w:val="98"/>
              </w:rPr>
              <w:t>高优指标</w:t>
            </w:r>
          </w:p>
        </w:tc>
        <w:tc>
          <w:tcPr>
            <w:tcW w:w="3380" w:type="dxa"/>
            <w:vAlign w:val="bottom"/>
            <w:tcBorders>
              <w:top w:val="single" w:sz="8" w:color="auto"/>
              <w:right w:val="single" w:sz="8" w:color="auto"/>
            </w:tcBorders>
          </w:tcPr>
          <w:p>
            <w:pPr>
              <w:ind w:left="1120"/>
              <w:spacing w:after="0" w:line="320" w:lineRule="exact"/>
              <w:rPr>
                <w:sz w:val="20"/>
                <w:szCs w:val="20"/>
                <w:color w:val="auto"/>
              </w:rPr>
            </w:pPr>
            <w:r>
              <w:rPr>
                <w:rFonts w:ascii="宋体" w:cs="宋体" w:eastAsia="宋体" w:hAnsi="宋体"/>
                <w:sz w:val="28"/>
                <w:szCs w:val="28"/>
                <w:color w:val="auto"/>
              </w:rPr>
              <w:t>低优指标</w:t>
            </w:r>
          </w:p>
        </w:tc>
        <w:tc>
          <w:tcPr>
            <w:tcW w:w="0" w:type="dxa"/>
            <w:vAlign w:val="bottom"/>
          </w:tcPr>
          <w:p>
            <w:pPr>
              <w:spacing w:after="0"/>
              <w:rPr>
                <w:sz w:val="1"/>
                <w:szCs w:val="1"/>
                <w:color w:val="auto"/>
              </w:rPr>
            </w:pPr>
          </w:p>
        </w:tc>
      </w:tr>
      <w:tr>
        <w:trPr>
          <w:trHeight w:val="231"/>
        </w:trPr>
        <w:tc>
          <w:tcPr>
            <w:tcW w:w="1440" w:type="dxa"/>
            <w:vAlign w:val="bottom"/>
            <w:tcBorders>
              <w:left w:val="single" w:sz="8" w:color="auto"/>
              <w:bottom w:val="single" w:sz="8" w:color="auto"/>
              <w:right w:val="single" w:sz="8" w:color="auto"/>
            </w:tcBorders>
          </w:tcPr>
          <w:p>
            <w:pPr>
              <w:spacing w:after="0"/>
              <w:rPr>
                <w:sz w:val="20"/>
                <w:szCs w:val="20"/>
                <w:color w:val="auto"/>
              </w:rPr>
            </w:pPr>
          </w:p>
        </w:tc>
        <w:tc>
          <w:tcPr>
            <w:tcW w:w="3500" w:type="dxa"/>
            <w:vAlign w:val="bottom"/>
            <w:tcBorders>
              <w:bottom w:val="single" w:sz="8" w:color="auto"/>
              <w:right w:val="single" w:sz="8" w:color="auto"/>
            </w:tcBorders>
          </w:tcPr>
          <w:p>
            <w:pPr>
              <w:spacing w:after="0"/>
              <w:rPr>
                <w:sz w:val="20"/>
                <w:szCs w:val="20"/>
                <w:color w:val="auto"/>
              </w:rPr>
            </w:pPr>
          </w:p>
        </w:tc>
        <w:tc>
          <w:tcPr>
            <w:tcW w:w="338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35"/>
        </w:trPr>
        <w:tc>
          <w:tcPr>
            <w:tcW w:w="1440" w:type="dxa"/>
            <w:vAlign w:val="bottom"/>
            <w:tcBorders>
              <w:left w:val="single" w:sz="8" w:color="auto"/>
              <w:right w:val="single" w:sz="8" w:color="auto"/>
            </w:tcBorders>
            <w:vMerge w:val="restart"/>
          </w:tcPr>
          <w:p>
            <w:pPr>
              <w:ind w:left="160"/>
              <w:spacing w:after="0" w:line="320" w:lineRule="exact"/>
              <w:rPr>
                <w:sz w:val="20"/>
                <w:szCs w:val="20"/>
                <w:color w:val="auto"/>
              </w:rPr>
            </w:pPr>
            <w:r>
              <w:rPr>
                <w:rFonts w:ascii="宋体" w:cs="宋体" w:eastAsia="宋体" w:hAnsi="宋体"/>
                <w:sz w:val="28"/>
                <w:szCs w:val="28"/>
                <w:color w:val="auto"/>
              </w:rPr>
              <w:t>绝对度量</w:t>
            </w:r>
          </w:p>
        </w:tc>
        <w:tc>
          <w:tcPr>
            <w:tcW w:w="3500" w:type="dxa"/>
            <w:vAlign w:val="bottom"/>
            <w:tcBorders>
              <w:right w:val="single" w:sz="8" w:color="auto"/>
            </w:tcBorders>
          </w:tcPr>
          <w:p>
            <w:pPr>
              <w:jc w:val="center"/>
              <w:spacing w:after="0" w:line="334" w:lineRule="exact"/>
              <w:rPr>
                <w:sz w:val="20"/>
                <w:szCs w:val="20"/>
                <w:color w:val="auto"/>
              </w:rPr>
            </w:pPr>
            <w:r>
              <w:rPr>
                <w:rFonts w:ascii="Times New Roman" w:cs="Times New Roman" w:eastAsia="Times New Roman" w:hAnsi="Times New Roman"/>
                <w:sz w:val="7"/>
                <w:szCs w:val="7"/>
                <w:color w:val="auto"/>
              </w:rPr>
              <w:t>H</w:t>
            </w:r>
            <w:r>
              <w:rPr>
                <w:rFonts w:ascii="Times New Roman" w:cs="Times New Roman" w:eastAsia="Times New Roman" w:hAnsi="Times New Roman"/>
                <w:sz w:val="6"/>
                <w:szCs w:val="6"/>
                <w:color w:val="auto"/>
              </w:rPr>
              <w:t>0</w:t>
            </w:r>
            <w:r>
              <w:rPr>
                <w:rFonts w:ascii="宋体" w:cs="宋体" w:eastAsia="宋体" w:hAnsi="宋体"/>
                <w:sz w:val="7"/>
                <w:szCs w:val="7"/>
                <w:color w:val="auto"/>
              </w:rPr>
              <w:t>：</w:t>
            </w:r>
            <w:r>
              <w:rPr>
                <w:rFonts w:ascii="Times New Roman" w:cs="Times New Roman" w:eastAsia="Times New Roman" w:hAnsi="Times New Roman"/>
                <w:sz w:val="7"/>
                <w:szCs w:val="7"/>
                <w:i w:val="1"/>
                <w:iCs w:val="1"/>
                <w:color w:val="auto"/>
              </w:rPr>
              <w:t>T</w:t>
            </w:r>
            <w:r>
              <w:rPr>
                <w:rFonts w:ascii="Times New Roman" w:cs="Times New Roman" w:eastAsia="Times New Roman" w:hAnsi="Times New Roman"/>
                <w:sz w:val="7"/>
                <w:szCs w:val="7"/>
                <w:color w:val="auto"/>
              </w:rPr>
              <w:t xml:space="preserve">  </w:t>
            </w:r>
            <w:r>
              <w:rPr>
                <w:rFonts w:ascii="Cambria Math" w:cs="Cambria Math" w:eastAsia="Cambria Math" w:hAnsi="Cambria Math"/>
                <w:sz w:val="7"/>
                <w:szCs w:val="7"/>
                <w:color w:val="auto"/>
              </w:rPr>
              <w:t>−</w:t>
            </w:r>
            <w:r>
              <w:rPr>
                <w:rFonts w:ascii="Times New Roman" w:cs="Times New Roman" w:eastAsia="Times New Roman" w:hAnsi="Times New Roman"/>
                <w:sz w:val="7"/>
                <w:szCs w:val="7"/>
                <w:color w:val="auto"/>
              </w:rPr>
              <w:t xml:space="preserve"> </w:t>
            </w:r>
            <w:r>
              <w:rPr>
                <w:rFonts w:ascii="Times New Roman" w:cs="Times New Roman" w:eastAsia="Times New Roman" w:hAnsi="Times New Roman"/>
                <w:sz w:val="7"/>
                <w:szCs w:val="7"/>
                <w:i w:val="1"/>
                <w:iCs w:val="1"/>
                <w:color w:val="auto"/>
              </w:rPr>
              <w:t>C</w:t>
            </w:r>
            <w:r>
              <w:rPr>
                <w:rFonts w:ascii="Times New Roman" w:cs="Times New Roman" w:eastAsia="Times New Roman" w:hAnsi="Times New Roman"/>
                <w:sz w:val="7"/>
                <w:szCs w:val="7"/>
                <w:color w:val="auto"/>
              </w:rPr>
              <w:t xml:space="preserve">  </w:t>
            </w:r>
            <w:r>
              <w:rPr>
                <w:rFonts w:ascii="Cambria Math" w:cs="Cambria Math" w:eastAsia="Cambria Math" w:hAnsi="Cambria Math"/>
                <w:sz w:val="7"/>
                <w:szCs w:val="7"/>
                <w:color w:val="auto"/>
              </w:rPr>
              <w:t xml:space="preserve">≤ −  </w:t>
            </w:r>
            <w:r>
              <w:rPr>
                <w:rFonts w:ascii="宋体" w:cs="宋体" w:eastAsia="宋体" w:hAnsi="宋体"/>
                <w:sz w:val="7"/>
                <w:szCs w:val="7"/>
                <w:color w:val="auto"/>
              </w:rPr>
              <w:t>（</w:t>
            </w:r>
            <w:r>
              <w:rPr>
                <w:rFonts w:ascii="Times New Roman" w:cs="Times New Roman" w:eastAsia="Times New Roman" w:hAnsi="Times New Roman"/>
                <w:sz w:val="7"/>
                <w:szCs w:val="7"/>
                <w:i w:val="1"/>
                <w:iCs w:val="1"/>
                <w:color w:val="auto"/>
              </w:rPr>
              <w:t>M</w:t>
            </w:r>
            <w:r>
              <w:rPr>
                <w:rFonts w:ascii="Cambria Math" w:cs="Cambria Math" w:eastAsia="Cambria Math" w:hAnsi="Cambria Math"/>
                <w:sz w:val="7"/>
                <w:szCs w:val="7"/>
                <w:color w:val="auto"/>
              </w:rPr>
              <w:t>&gt;</w:t>
            </w:r>
            <w:r>
              <w:rPr>
                <w:rFonts w:ascii="Times New Roman" w:cs="Times New Roman" w:eastAsia="Times New Roman" w:hAnsi="Times New Roman"/>
                <w:sz w:val="7"/>
                <w:szCs w:val="7"/>
                <w:color w:val="auto"/>
              </w:rPr>
              <w:t>0</w:t>
            </w:r>
            <w:r>
              <w:rPr>
                <w:rFonts w:ascii="宋体" w:cs="宋体" w:eastAsia="宋体" w:hAnsi="宋体"/>
                <w:sz w:val="7"/>
                <w:szCs w:val="7"/>
                <w:color w:val="auto"/>
              </w:rPr>
              <w:t>）</w:t>
            </w:r>
          </w:p>
        </w:tc>
        <w:tc>
          <w:tcPr>
            <w:tcW w:w="3380" w:type="dxa"/>
            <w:vAlign w:val="bottom"/>
            <w:tcBorders>
              <w:right w:val="single" w:sz="8" w:color="auto"/>
            </w:tcBorders>
          </w:tcPr>
          <w:p>
            <w:pPr>
              <w:ind w:left="100"/>
              <w:spacing w:after="0" w:line="334" w:lineRule="exact"/>
              <w:rPr>
                <w:sz w:val="20"/>
                <w:szCs w:val="20"/>
                <w:color w:val="auto"/>
              </w:rPr>
            </w:pPr>
            <w:r>
              <w:rPr>
                <w:rFonts w:ascii="Times New Roman" w:cs="Times New Roman" w:eastAsia="Times New Roman" w:hAnsi="Times New Roman"/>
                <w:sz w:val="7"/>
                <w:szCs w:val="7"/>
                <w:color w:val="auto"/>
              </w:rPr>
              <w:t>H</w:t>
            </w:r>
            <w:r>
              <w:rPr>
                <w:rFonts w:ascii="Times New Roman" w:cs="Times New Roman" w:eastAsia="Times New Roman" w:hAnsi="Times New Roman"/>
                <w:sz w:val="6"/>
                <w:szCs w:val="6"/>
                <w:color w:val="auto"/>
              </w:rPr>
              <w:t>0</w:t>
            </w:r>
            <w:r>
              <w:rPr>
                <w:rFonts w:ascii="宋体" w:cs="宋体" w:eastAsia="宋体" w:hAnsi="宋体"/>
                <w:sz w:val="7"/>
                <w:szCs w:val="7"/>
                <w:color w:val="auto"/>
              </w:rPr>
              <w:t>：</w:t>
            </w:r>
            <w:r>
              <w:rPr>
                <w:rFonts w:ascii="Times New Roman" w:cs="Times New Roman" w:eastAsia="Times New Roman" w:hAnsi="Times New Roman"/>
                <w:sz w:val="7"/>
                <w:szCs w:val="7"/>
                <w:i w:val="1"/>
                <w:iCs w:val="1"/>
                <w:color w:val="auto"/>
              </w:rPr>
              <w:t>T</w:t>
            </w:r>
            <w:r>
              <w:rPr>
                <w:rFonts w:ascii="Times New Roman" w:cs="Times New Roman" w:eastAsia="Times New Roman" w:hAnsi="Times New Roman"/>
                <w:sz w:val="7"/>
                <w:szCs w:val="7"/>
                <w:color w:val="auto"/>
              </w:rPr>
              <w:t xml:space="preserve">  </w:t>
            </w:r>
            <w:r>
              <w:rPr>
                <w:rFonts w:ascii="Cambria Math" w:cs="Cambria Math" w:eastAsia="Cambria Math" w:hAnsi="Cambria Math"/>
                <w:sz w:val="7"/>
                <w:szCs w:val="7"/>
                <w:color w:val="auto"/>
              </w:rPr>
              <w:t>−</w:t>
            </w:r>
            <w:r>
              <w:rPr>
                <w:rFonts w:ascii="Times New Roman" w:cs="Times New Roman" w:eastAsia="Times New Roman" w:hAnsi="Times New Roman"/>
                <w:sz w:val="7"/>
                <w:szCs w:val="7"/>
                <w:color w:val="auto"/>
              </w:rPr>
              <w:t xml:space="preserve"> </w:t>
            </w:r>
            <w:r>
              <w:rPr>
                <w:rFonts w:ascii="Times New Roman" w:cs="Times New Roman" w:eastAsia="Times New Roman" w:hAnsi="Times New Roman"/>
                <w:sz w:val="7"/>
                <w:szCs w:val="7"/>
                <w:i w:val="1"/>
                <w:iCs w:val="1"/>
                <w:color w:val="auto"/>
              </w:rPr>
              <w:t>C</w:t>
            </w:r>
            <w:r>
              <w:rPr>
                <w:rFonts w:ascii="Times New Roman" w:cs="Times New Roman" w:eastAsia="Times New Roman" w:hAnsi="Times New Roman"/>
                <w:sz w:val="7"/>
                <w:szCs w:val="7"/>
                <w:color w:val="auto"/>
              </w:rPr>
              <w:t xml:space="preserve">  </w:t>
            </w:r>
            <w:r>
              <w:rPr>
                <w:rFonts w:ascii="Cambria Math" w:cs="Cambria Math" w:eastAsia="Cambria Math" w:hAnsi="Cambria Math"/>
                <w:sz w:val="7"/>
                <w:szCs w:val="7"/>
                <w:color w:val="auto"/>
              </w:rPr>
              <w:t>≥</w:t>
            </w:r>
            <w:r>
              <w:rPr>
                <w:rFonts w:ascii="Times New Roman" w:cs="Times New Roman" w:eastAsia="Times New Roman" w:hAnsi="Times New Roman"/>
                <w:sz w:val="7"/>
                <w:szCs w:val="7"/>
                <w:color w:val="auto"/>
              </w:rPr>
              <w:t xml:space="preserve">  </w:t>
            </w:r>
            <w:r>
              <w:rPr>
                <w:rFonts w:ascii="宋体" w:cs="宋体" w:eastAsia="宋体" w:hAnsi="宋体"/>
                <w:sz w:val="7"/>
                <w:szCs w:val="7"/>
                <w:color w:val="auto"/>
              </w:rPr>
              <w:t>（</w:t>
            </w:r>
            <w:r>
              <w:rPr>
                <w:rFonts w:ascii="Times New Roman" w:cs="Times New Roman" w:eastAsia="Times New Roman" w:hAnsi="Times New Roman"/>
                <w:sz w:val="7"/>
                <w:szCs w:val="7"/>
                <w:i w:val="1"/>
                <w:iCs w:val="1"/>
                <w:color w:val="auto"/>
              </w:rPr>
              <w:t>M</w:t>
            </w:r>
            <w:r>
              <w:rPr>
                <w:rFonts w:ascii="Cambria Math" w:cs="Cambria Math" w:eastAsia="Cambria Math" w:hAnsi="Cambria Math"/>
                <w:sz w:val="7"/>
                <w:szCs w:val="7"/>
                <w:color w:val="auto"/>
              </w:rPr>
              <w:t>&gt;</w:t>
            </w:r>
            <w:r>
              <w:rPr>
                <w:rFonts w:ascii="Times New Roman" w:cs="Times New Roman" w:eastAsia="Times New Roman" w:hAnsi="Times New Roman"/>
                <w:sz w:val="7"/>
                <w:szCs w:val="7"/>
                <w:color w:val="auto"/>
              </w:rPr>
              <w:t>0</w:t>
            </w:r>
            <w:r>
              <w:rPr>
                <w:rFonts w:ascii="宋体" w:cs="宋体" w:eastAsia="宋体" w:hAnsi="宋体"/>
                <w:sz w:val="7"/>
                <w:szCs w:val="7"/>
                <w:color w:val="auto"/>
              </w:rPr>
              <w:t>）</w:t>
            </w:r>
          </w:p>
        </w:tc>
        <w:tc>
          <w:tcPr>
            <w:tcW w:w="0" w:type="dxa"/>
            <w:vAlign w:val="bottom"/>
          </w:tcPr>
          <w:p>
            <w:pPr>
              <w:spacing w:after="0"/>
              <w:rPr>
                <w:sz w:val="1"/>
                <w:szCs w:val="1"/>
                <w:color w:val="auto"/>
              </w:rPr>
            </w:pPr>
          </w:p>
        </w:tc>
      </w:tr>
      <w:tr>
        <w:trPr>
          <w:trHeight w:val="240"/>
        </w:trPr>
        <w:tc>
          <w:tcPr>
            <w:tcW w:w="1440" w:type="dxa"/>
            <w:vAlign w:val="bottom"/>
            <w:tcBorders>
              <w:left w:val="single" w:sz="8" w:color="auto"/>
              <w:right w:val="single" w:sz="8" w:color="auto"/>
            </w:tcBorders>
            <w:vMerge w:val="continue"/>
          </w:tcPr>
          <w:p>
            <w:pPr>
              <w:spacing w:after="0"/>
              <w:rPr>
                <w:sz w:val="20"/>
                <w:szCs w:val="20"/>
                <w:color w:val="auto"/>
              </w:rPr>
            </w:pPr>
          </w:p>
        </w:tc>
        <w:tc>
          <w:tcPr>
            <w:tcW w:w="3500" w:type="dxa"/>
            <w:vAlign w:val="bottom"/>
            <w:tcBorders>
              <w:right w:val="single" w:sz="8" w:color="auto"/>
            </w:tcBorders>
            <w:vMerge w:val="restart"/>
          </w:tcPr>
          <w:p>
            <w:pPr>
              <w:jc w:val="center"/>
              <w:spacing w:after="0" w:line="542" w:lineRule="exact"/>
              <w:rPr>
                <w:sz w:val="20"/>
                <w:szCs w:val="20"/>
                <w:color w:val="auto"/>
              </w:rPr>
            </w:pPr>
            <w:r>
              <w:rPr>
                <w:rFonts w:ascii="Times New Roman" w:cs="Times New Roman" w:eastAsia="Times New Roman" w:hAnsi="Times New Roman"/>
                <w:sz w:val="12"/>
                <w:szCs w:val="12"/>
                <w:color w:val="auto"/>
              </w:rPr>
              <w:t>H</w:t>
            </w:r>
            <w:r>
              <w:rPr>
                <w:rFonts w:ascii="Times New Roman" w:cs="Times New Roman" w:eastAsia="Times New Roman" w:hAnsi="Times New Roman"/>
                <w:sz w:val="9"/>
                <w:szCs w:val="9"/>
                <w:color w:val="auto"/>
              </w:rPr>
              <w:t>1</w:t>
            </w:r>
            <w:r>
              <w:rPr>
                <w:rFonts w:ascii="宋体" w:cs="宋体" w:eastAsia="宋体" w:hAnsi="宋体"/>
                <w:sz w:val="12"/>
                <w:szCs w:val="12"/>
                <w:color w:val="auto"/>
              </w:rPr>
              <w:t>：</w:t>
            </w:r>
            <w:r>
              <w:rPr>
                <w:rFonts w:ascii="Times New Roman" w:cs="Times New Roman" w:eastAsia="Times New Roman" w:hAnsi="Times New Roman"/>
                <w:sz w:val="12"/>
                <w:szCs w:val="12"/>
                <w:i w:val="1"/>
                <w:iCs w:val="1"/>
                <w:color w:val="auto"/>
              </w:rPr>
              <w:t>T</w:t>
            </w:r>
            <w:r>
              <w:rPr>
                <w:rFonts w:ascii="Times New Roman" w:cs="Times New Roman" w:eastAsia="Times New Roman" w:hAnsi="Times New Roman"/>
                <w:sz w:val="12"/>
                <w:szCs w:val="12"/>
                <w:color w:val="auto"/>
              </w:rPr>
              <w:t xml:space="preserve">  </w:t>
            </w:r>
            <w:r>
              <w:rPr>
                <w:rFonts w:ascii="Cambria Math" w:cs="Cambria Math" w:eastAsia="Cambria Math" w:hAnsi="Cambria Math"/>
                <w:sz w:val="12"/>
                <w:szCs w:val="12"/>
                <w:color w:val="auto"/>
              </w:rPr>
              <w:t>−</w:t>
            </w:r>
            <w:r>
              <w:rPr>
                <w:rFonts w:ascii="Times New Roman" w:cs="Times New Roman" w:eastAsia="Times New Roman" w:hAnsi="Times New Roman"/>
                <w:sz w:val="12"/>
                <w:szCs w:val="12"/>
                <w:color w:val="auto"/>
              </w:rPr>
              <w:t xml:space="preserve"> </w:t>
            </w:r>
            <w:r>
              <w:rPr>
                <w:rFonts w:ascii="Times New Roman" w:cs="Times New Roman" w:eastAsia="Times New Roman" w:hAnsi="Times New Roman"/>
                <w:sz w:val="12"/>
                <w:szCs w:val="12"/>
                <w:i w:val="1"/>
                <w:iCs w:val="1"/>
                <w:color w:val="auto"/>
              </w:rPr>
              <w:t>C</w:t>
            </w:r>
            <w:r>
              <w:rPr>
                <w:rFonts w:ascii="Times New Roman" w:cs="Times New Roman" w:eastAsia="Times New Roman" w:hAnsi="Times New Roman"/>
                <w:sz w:val="12"/>
                <w:szCs w:val="12"/>
                <w:color w:val="auto"/>
              </w:rPr>
              <w:t xml:space="preserve">  </w:t>
            </w:r>
            <w:r>
              <w:rPr>
                <w:rFonts w:ascii="Cambria Math" w:cs="Cambria Math" w:eastAsia="Cambria Math" w:hAnsi="Cambria Math"/>
                <w:sz w:val="12"/>
                <w:szCs w:val="12"/>
                <w:color w:val="auto"/>
              </w:rPr>
              <w:t xml:space="preserve">&gt; −  </w:t>
            </w:r>
            <w:r>
              <w:rPr>
                <w:rFonts w:ascii="宋体" w:cs="宋体" w:eastAsia="宋体" w:hAnsi="宋体"/>
                <w:sz w:val="12"/>
                <w:szCs w:val="12"/>
                <w:color w:val="auto"/>
              </w:rPr>
              <w:t>（</w:t>
            </w:r>
            <w:r>
              <w:rPr>
                <w:rFonts w:ascii="Times New Roman" w:cs="Times New Roman" w:eastAsia="Times New Roman" w:hAnsi="Times New Roman"/>
                <w:sz w:val="12"/>
                <w:szCs w:val="12"/>
                <w:i w:val="1"/>
                <w:iCs w:val="1"/>
                <w:color w:val="auto"/>
              </w:rPr>
              <w:t>M</w:t>
            </w:r>
            <w:r>
              <w:rPr>
                <w:rFonts w:ascii="Cambria Math" w:cs="Cambria Math" w:eastAsia="Cambria Math" w:hAnsi="Cambria Math"/>
                <w:sz w:val="12"/>
                <w:szCs w:val="12"/>
                <w:color w:val="auto"/>
              </w:rPr>
              <w:t>&gt;</w:t>
            </w:r>
            <w:r>
              <w:rPr>
                <w:rFonts w:ascii="Times New Roman" w:cs="Times New Roman" w:eastAsia="Times New Roman" w:hAnsi="Times New Roman"/>
                <w:sz w:val="12"/>
                <w:szCs w:val="12"/>
                <w:color w:val="auto"/>
              </w:rPr>
              <w:t>0</w:t>
            </w:r>
            <w:r>
              <w:rPr>
                <w:rFonts w:ascii="宋体" w:cs="宋体" w:eastAsia="宋体" w:hAnsi="宋体"/>
                <w:sz w:val="12"/>
                <w:szCs w:val="12"/>
                <w:color w:val="auto"/>
              </w:rPr>
              <w:t>）</w:t>
            </w:r>
          </w:p>
        </w:tc>
        <w:tc>
          <w:tcPr>
            <w:tcW w:w="3380" w:type="dxa"/>
            <w:vAlign w:val="bottom"/>
            <w:tcBorders>
              <w:right w:val="single" w:sz="8" w:color="auto"/>
            </w:tcBorders>
            <w:vMerge w:val="restart"/>
          </w:tcPr>
          <w:p>
            <w:pPr>
              <w:ind w:left="100"/>
              <w:spacing w:after="0" w:line="542" w:lineRule="exact"/>
              <w:rPr>
                <w:sz w:val="20"/>
                <w:szCs w:val="20"/>
                <w:color w:val="auto"/>
              </w:rPr>
            </w:pPr>
            <w:r>
              <w:rPr>
                <w:rFonts w:ascii="Times New Roman" w:cs="Times New Roman" w:eastAsia="Times New Roman" w:hAnsi="Times New Roman"/>
                <w:sz w:val="12"/>
                <w:szCs w:val="12"/>
                <w:color w:val="auto"/>
              </w:rPr>
              <w:t>H</w:t>
            </w:r>
            <w:r>
              <w:rPr>
                <w:rFonts w:ascii="Times New Roman" w:cs="Times New Roman" w:eastAsia="Times New Roman" w:hAnsi="Times New Roman"/>
                <w:sz w:val="9"/>
                <w:szCs w:val="9"/>
                <w:color w:val="auto"/>
              </w:rPr>
              <w:t>1</w:t>
            </w:r>
            <w:r>
              <w:rPr>
                <w:rFonts w:ascii="宋体" w:cs="宋体" w:eastAsia="宋体" w:hAnsi="宋体"/>
                <w:sz w:val="12"/>
                <w:szCs w:val="12"/>
                <w:color w:val="auto"/>
              </w:rPr>
              <w:t>：</w:t>
            </w:r>
            <w:r>
              <w:rPr>
                <w:rFonts w:ascii="Times New Roman" w:cs="Times New Roman" w:eastAsia="Times New Roman" w:hAnsi="Times New Roman"/>
                <w:sz w:val="12"/>
                <w:szCs w:val="12"/>
                <w:i w:val="1"/>
                <w:iCs w:val="1"/>
                <w:color w:val="auto"/>
              </w:rPr>
              <w:t>T</w:t>
            </w:r>
            <w:r>
              <w:rPr>
                <w:rFonts w:ascii="Times New Roman" w:cs="Times New Roman" w:eastAsia="Times New Roman" w:hAnsi="Times New Roman"/>
                <w:sz w:val="12"/>
                <w:szCs w:val="12"/>
                <w:color w:val="auto"/>
              </w:rPr>
              <w:t xml:space="preserve">  </w:t>
            </w:r>
            <w:r>
              <w:rPr>
                <w:rFonts w:ascii="Cambria Math" w:cs="Cambria Math" w:eastAsia="Cambria Math" w:hAnsi="Cambria Math"/>
                <w:sz w:val="12"/>
                <w:szCs w:val="12"/>
                <w:color w:val="auto"/>
              </w:rPr>
              <w:t>−</w:t>
            </w:r>
            <w:r>
              <w:rPr>
                <w:rFonts w:ascii="Times New Roman" w:cs="Times New Roman" w:eastAsia="Times New Roman" w:hAnsi="Times New Roman"/>
                <w:sz w:val="12"/>
                <w:szCs w:val="12"/>
                <w:color w:val="auto"/>
              </w:rPr>
              <w:t xml:space="preserve"> </w:t>
            </w:r>
            <w:r>
              <w:rPr>
                <w:rFonts w:ascii="Times New Roman" w:cs="Times New Roman" w:eastAsia="Times New Roman" w:hAnsi="Times New Roman"/>
                <w:sz w:val="12"/>
                <w:szCs w:val="12"/>
                <w:i w:val="1"/>
                <w:iCs w:val="1"/>
                <w:color w:val="auto"/>
              </w:rPr>
              <w:t>C</w:t>
            </w:r>
            <w:r>
              <w:rPr>
                <w:rFonts w:ascii="Times New Roman" w:cs="Times New Roman" w:eastAsia="Times New Roman" w:hAnsi="Times New Roman"/>
                <w:sz w:val="12"/>
                <w:szCs w:val="12"/>
                <w:color w:val="auto"/>
              </w:rPr>
              <w:t xml:space="preserve">  </w:t>
            </w:r>
            <w:r>
              <w:rPr>
                <w:rFonts w:ascii="Cambria Math" w:cs="Cambria Math" w:eastAsia="Cambria Math" w:hAnsi="Cambria Math"/>
                <w:sz w:val="12"/>
                <w:szCs w:val="12"/>
                <w:color w:val="auto"/>
              </w:rPr>
              <w:t>&lt;</w:t>
            </w:r>
            <w:r>
              <w:rPr>
                <w:rFonts w:ascii="Times New Roman" w:cs="Times New Roman" w:eastAsia="Times New Roman" w:hAnsi="Times New Roman"/>
                <w:sz w:val="12"/>
                <w:szCs w:val="12"/>
                <w:color w:val="auto"/>
              </w:rPr>
              <w:t xml:space="preserve">  </w:t>
            </w:r>
            <w:r>
              <w:rPr>
                <w:rFonts w:ascii="宋体" w:cs="宋体" w:eastAsia="宋体" w:hAnsi="宋体"/>
                <w:sz w:val="12"/>
                <w:szCs w:val="12"/>
                <w:color w:val="auto"/>
              </w:rPr>
              <w:t>（</w:t>
            </w:r>
            <w:r>
              <w:rPr>
                <w:rFonts w:ascii="Times New Roman" w:cs="Times New Roman" w:eastAsia="Times New Roman" w:hAnsi="Times New Roman"/>
                <w:sz w:val="12"/>
                <w:szCs w:val="12"/>
                <w:i w:val="1"/>
                <w:iCs w:val="1"/>
                <w:color w:val="auto"/>
              </w:rPr>
              <w:t>M</w:t>
            </w:r>
            <w:r>
              <w:rPr>
                <w:rFonts w:ascii="Cambria Math" w:cs="Cambria Math" w:eastAsia="Cambria Math" w:hAnsi="Cambria Math"/>
                <w:sz w:val="12"/>
                <w:szCs w:val="12"/>
                <w:color w:val="auto"/>
              </w:rPr>
              <w:t>&gt;</w:t>
            </w:r>
            <w:r>
              <w:rPr>
                <w:rFonts w:ascii="Times New Roman" w:cs="Times New Roman" w:eastAsia="Times New Roman" w:hAnsi="Times New Roman"/>
                <w:sz w:val="12"/>
                <w:szCs w:val="12"/>
                <w:color w:val="auto"/>
              </w:rPr>
              <w:t>0</w:t>
            </w:r>
            <w:r>
              <w:rPr>
                <w:rFonts w:ascii="宋体" w:cs="宋体" w:eastAsia="宋体" w:hAnsi="宋体"/>
                <w:sz w:val="12"/>
                <w:szCs w:val="12"/>
                <w:color w:val="auto"/>
              </w:rPr>
              <w:t>）</w:t>
            </w:r>
          </w:p>
        </w:tc>
        <w:tc>
          <w:tcPr>
            <w:tcW w:w="0" w:type="dxa"/>
            <w:vAlign w:val="bottom"/>
          </w:tcPr>
          <w:p>
            <w:pPr>
              <w:spacing w:after="0"/>
              <w:rPr>
                <w:sz w:val="1"/>
                <w:szCs w:val="1"/>
                <w:color w:val="auto"/>
              </w:rPr>
            </w:pPr>
          </w:p>
        </w:tc>
      </w:tr>
      <w:tr>
        <w:trPr>
          <w:trHeight w:val="302"/>
        </w:trPr>
        <w:tc>
          <w:tcPr>
            <w:tcW w:w="1440" w:type="dxa"/>
            <w:vAlign w:val="bottom"/>
            <w:tcBorders>
              <w:left w:val="single" w:sz="8" w:color="auto"/>
              <w:right w:val="single" w:sz="8" w:color="auto"/>
            </w:tcBorders>
          </w:tcPr>
          <w:p>
            <w:pPr>
              <w:spacing w:after="0"/>
              <w:rPr>
                <w:sz w:val="24"/>
                <w:szCs w:val="24"/>
                <w:color w:val="auto"/>
              </w:rPr>
            </w:pPr>
          </w:p>
        </w:tc>
        <w:tc>
          <w:tcPr>
            <w:tcW w:w="3500" w:type="dxa"/>
            <w:vAlign w:val="bottom"/>
            <w:tcBorders>
              <w:right w:val="single" w:sz="8" w:color="auto"/>
            </w:tcBorders>
            <w:vMerge w:val="continue"/>
          </w:tcPr>
          <w:p>
            <w:pPr>
              <w:spacing w:after="0"/>
              <w:rPr>
                <w:sz w:val="24"/>
                <w:szCs w:val="24"/>
                <w:color w:val="auto"/>
              </w:rPr>
            </w:pPr>
          </w:p>
        </w:tc>
        <w:tc>
          <w:tcPr>
            <w:tcW w:w="338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202"/>
        </w:trPr>
        <w:tc>
          <w:tcPr>
            <w:tcW w:w="1440" w:type="dxa"/>
            <w:vAlign w:val="bottom"/>
            <w:tcBorders>
              <w:left w:val="single" w:sz="8" w:color="auto"/>
              <w:bottom w:val="single" w:sz="8" w:color="auto"/>
              <w:right w:val="single" w:sz="8" w:color="auto"/>
            </w:tcBorders>
          </w:tcPr>
          <w:p>
            <w:pPr>
              <w:spacing w:after="0"/>
              <w:rPr>
                <w:sz w:val="17"/>
                <w:szCs w:val="17"/>
                <w:color w:val="auto"/>
              </w:rPr>
            </w:pPr>
          </w:p>
        </w:tc>
        <w:tc>
          <w:tcPr>
            <w:tcW w:w="3500" w:type="dxa"/>
            <w:vAlign w:val="bottom"/>
            <w:tcBorders>
              <w:bottom w:val="single" w:sz="8" w:color="auto"/>
              <w:right w:val="single" w:sz="8" w:color="auto"/>
            </w:tcBorders>
          </w:tcPr>
          <w:p>
            <w:pPr>
              <w:spacing w:after="0"/>
              <w:rPr>
                <w:sz w:val="17"/>
                <w:szCs w:val="17"/>
                <w:color w:val="auto"/>
              </w:rPr>
            </w:pPr>
          </w:p>
        </w:tc>
        <w:tc>
          <w:tcPr>
            <w:tcW w:w="338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335"/>
        </w:trPr>
        <w:tc>
          <w:tcPr>
            <w:tcW w:w="1440" w:type="dxa"/>
            <w:vAlign w:val="bottom"/>
            <w:tcBorders>
              <w:left w:val="single" w:sz="8" w:color="auto"/>
              <w:right w:val="single" w:sz="8" w:color="auto"/>
            </w:tcBorders>
            <w:vMerge w:val="restart"/>
          </w:tcPr>
          <w:p>
            <w:pPr>
              <w:ind w:left="160"/>
              <w:spacing w:after="0" w:line="320" w:lineRule="exact"/>
              <w:rPr>
                <w:sz w:val="20"/>
                <w:szCs w:val="20"/>
                <w:color w:val="auto"/>
              </w:rPr>
            </w:pPr>
            <w:r>
              <w:rPr>
                <w:rFonts w:ascii="宋体" w:cs="宋体" w:eastAsia="宋体" w:hAnsi="宋体"/>
                <w:sz w:val="28"/>
                <w:szCs w:val="28"/>
                <w:color w:val="auto"/>
              </w:rPr>
              <w:t>相对度量</w:t>
            </w:r>
          </w:p>
        </w:tc>
        <w:tc>
          <w:tcPr>
            <w:tcW w:w="3500" w:type="dxa"/>
            <w:vAlign w:val="bottom"/>
            <w:tcBorders>
              <w:right w:val="single" w:sz="8" w:color="auto"/>
            </w:tcBorders>
          </w:tcPr>
          <w:p>
            <w:pPr>
              <w:jc w:val="center"/>
              <w:ind w:right="15"/>
              <w:spacing w:after="0" w:line="334" w:lineRule="exact"/>
              <w:rPr>
                <w:sz w:val="20"/>
                <w:szCs w:val="20"/>
                <w:color w:val="auto"/>
              </w:rPr>
            </w:pPr>
            <w:r>
              <w:rPr>
                <w:rFonts w:ascii="Times New Roman" w:cs="Times New Roman" w:eastAsia="Times New Roman" w:hAnsi="Times New Roman"/>
                <w:sz w:val="7"/>
                <w:szCs w:val="7"/>
                <w:color w:val="auto"/>
              </w:rPr>
              <w:t>H</w:t>
            </w:r>
            <w:r>
              <w:rPr>
                <w:rFonts w:ascii="Times New Roman" w:cs="Times New Roman" w:eastAsia="Times New Roman" w:hAnsi="Times New Roman"/>
                <w:sz w:val="6"/>
                <w:szCs w:val="6"/>
                <w:color w:val="auto"/>
              </w:rPr>
              <w:t>0</w:t>
            </w:r>
            <w:r>
              <w:rPr>
                <w:rFonts w:ascii="宋体" w:cs="宋体" w:eastAsia="宋体" w:hAnsi="宋体"/>
                <w:sz w:val="7"/>
                <w:szCs w:val="7"/>
                <w:color w:val="auto"/>
              </w:rPr>
              <w:t>：</w:t>
            </w:r>
            <w:r>
              <w:rPr>
                <w:rFonts w:ascii="Times New Roman" w:cs="Times New Roman" w:eastAsia="Times New Roman" w:hAnsi="Times New Roman"/>
                <w:sz w:val="7"/>
                <w:szCs w:val="7"/>
                <w:i w:val="1"/>
                <w:iCs w:val="1"/>
                <w:color w:val="auto"/>
              </w:rPr>
              <w:t>T</w:t>
            </w:r>
            <w:r>
              <w:rPr>
                <w:rFonts w:ascii="Times New Roman" w:cs="Times New Roman" w:eastAsia="Times New Roman" w:hAnsi="Times New Roman"/>
                <w:sz w:val="7"/>
                <w:szCs w:val="7"/>
                <w:color w:val="auto"/>
              </w:rPr>
              <w:t xml:space="preserve"> / </w:t>
            </w:r>
            <w:r>
              <w:rPr>
                <w:rFonts w:ascii="Times New Roman" w:cs="Times New Roman" w:eastAsia="Times New Roman" w:hAnsi="Times New Roman"/>
                <w:sz w:val="7"/>
                <w:szCs w:val="7"/>
                <w:i w:val="1"/>
                <w:iCs w:val="1"/>
                <w:color w:val="auto"/>
              </w:rPr>
              <w:t>C</w:t>
            </w:r>
            <w:r>
              <w:rPr>
                <w:rFonts w:ascii="Times New Roman" w:cs="Times New Roman" w:eastAsia="Times New Roman" w:hAnsi="Times New Roman"/>
                <w:sz w:val="7"/>
                <w:szCs w:val="7"/>
                <w:color w:val="auto"/>
              </w:rPr>
              <w:t xml:space="preserve">  </w:t>
            </w:r>
            <w:r>
              <w:rPr>
                <w:rFonts w:ascii="Cambria Math" w:cs="Cambria Math" w:eastAsia="Cambria Math" w:hAnsi="Cambria Math"/>
                <w:sz w:val="7"/>
                <w:szCs w:val="7"/>
                <w:color w:val="auto"/>
              </w:rPr>
              <w:t>≤ 1⁄</w:t>
            </w:r>
            <w:r>
              <w:rPr>
                <w:rFonts w:ascii="Times New Roman" w:cs="Times New Roman" w:eastAsia="Times New Roman" w:hAnsi="Times New Roman"/>
                <w:sz w:val="7"/>
                <w:szCs w:val="7"/>
                <w:color w:val="auto"/>
              </w:rPr>
              <w:t xml:space="preserve">  </w:t>
            </w:r>
            <w:r>
              <w:rPr>
                <w:rFonts w:ascii="宋体" w:cs="宋体" w:eastAsia="宋体" w:hAnsi="宋体"/>
                <w:sz w:val="7"/>
                <w:szCs w:val="7"/>
                <w:color w:val="auto"/>
              </w:rPr>
              <w:t>（</w:t>
            </w:r>
            <w:r>
              <w:rPr>
                <w:rFonts w:ascii="Times New Roman" w:cs="Times New Roman" w:eastAsia="Times New Roman" w:hAnsi="Times New Roman"/>
                <w:sz w:val="7"/>
                <w:szCs w:val="7"/>
                <w:i w:val="1"/>
                <w:iCs w:val="1"/>
                <w:color w:val="auto"/>
              </w:rPr>
              <w:t>M</w:t>
            </w:r>
            <w:r>
              <w:rPr>
                <w:rFonts w:ascii="Cambria Math" w:cs="Cambria Math" w:eastAsia="Cambria Math" w:hAnsi="Cambria Math"/>
                <w:sz w:val="7"/>
                <w:szCs w:val="7"/>
                <w:color w:val="auto"/>
              </w:rPr>
              <w:t>&gt;</w:t>
            </w:r>
            <w:r>
              <w:rPr>
                <w:rFonts w:ascii="Times New Roman" w:cs="Times New Roman" w:eastAsia="Times New Roman" w:hAnsi="Times New Roman"/>
                <w:sz w:val="7"/>
                <w:szCs w:val="7"/>
                <w:color w:val="auto"/>
              </w:rPr>
              <w:t>1</w:t>
            </w:r>
            <w:r>
              <w:rPr>
                <w:rFonts w:ascii="宋体" w:cs="宋体" w:eastAsia="宋体" w:hAnsi="宋体"/>
                <w:sz w:val="7"/>
                <w:szCs w:val="7"/>
                <w:color w:val="auto"/>
              </w:rPr>
              <w:t>）</w:t>
            </w:r>
          </w:p>
        </w:tc>
        <w:tc>
          <w:tcPr>
            <w:tcW w:w="3380" w:type="dxa"/>
            <w:vAlign w:val="bottom"/>
            <w:tcBorders>
              <w:right w:val="single" w:sz="8" w:color="auto"/>
            </w:tcBorders>
          </w:tcPr>
          <w:p>
            <w:pPr>
              <w:ind w:left="100"/>
              <w:spacing w:after="0" w:line="334" w:lineRule="exact"/>
              <w:rPr>
                <w:sz w:val="20"/>
                <w:szCs w:val="20"/>
                <w:color w:val="auto"/>
              </w:rPr>
            </w:pPr>
            <w:r>
              <w:rPr>
                <w:rFonts w:ascii="Times New Roman" w:cs="Times New Roman" w:eastAsia="Times New Roman" w:hAnsi="Times New Roman"/>
                <w:sz w:val="7"/>
                <w:szCs w:val="7"/>
                <w:color w:val="auto"/>
              </w:rPr>
              <w:t>H</w:t>
            </w:r>
            <w:r>
              <w:rPr>
                <w:rFonts w:ascii="Times New Roman" w:cs="Times New Roman" w:eastAsia="Times New Roman" w:hAnsi="Times New Roman"/>
                <w:sz w:val="6"/>
                <w:szCs w:val="6"/>
                <w:color w:val="auto"/>
              </w:rPr>
              <w:t>0</w:t>
            </w:r>
            <w:r>
              <w:rPr>
                <w:rFonts w:ascii="宋体" w:cs="宋体" w:eastAsia="宋体" w:hAnsi="宋体"/>
                <w:sz w:val="7"/>
                <w:szCs w:val="7"/>
                <w:color w:val="auto"/>
              </w:rPr>
              <w:t>：</w:t>
            </w:r>
            <w:r>
              <w:rPr>
                <w:rFonts w:ascii="Times New Roman" w:cs="Times New Roman" w:eastAsia="Times New Roman" w:hAnsi="Times New Roman"/>
                <w:sz w:val="7"/>
                <w:szCs w:val="7"/>
                <w:i w:val="1"/>
                <w:iCs w:val="1"/>
                <w:color w:val="auto"/>
              </w:rPr>
              <w:t>T</w:t>
            </w:r>
            <w:r>
              <w:rPr>
                <w:rFonts w:ascii="Times New Roman" w:cs="Times New Roman" w:eastAsia="Times New Roman" w:hAnsi="Times New Roman"/>
                <w:sz w:val="7"/>
                <w:szCs w:val="7"/>
                <w:color w:val="auto"/>
              </w:rPr>
              <w:t xml:space="preserve"> / </w:t>
            </w:r>
            <w:r>
              <w:rPr>
                <w:rFonts w:ascii="Times New Roman" w:cs="Times New Roman" w:eastAsia="Times New Roman" w:hAnsi="Times New Roman"/>
                <w:sz w:val="7"/>
                <w:szCs w:val="7"/>
                <w:i w:val="1"/>
                <w:iCs w:val="1"/>
                <w:color w:val="auto"/>
              </w:rPr>
              <w:t>C</w:t>
            </w:r>
            <w:r>
              <w:rPr>
                <w:rFonts w:ascii="Times New Roman" w:cs="Times New Roman" w:eastAsia="Times New Roman" w:hAnsi="Times New Roman"/>
                <w:sz w:val="7"/>
                <w:szCs w:val="7"/>
                <w:color w:val="auto"/>
              </w:rPr>
              <w:t xml:space="preserve">  </w:t>
            </w:r>
            <w:r>
              <w:rPr>
                <w:rFonts w:ascii="Cambria Math" w:cs="Cambria Math" w:eastAsia="Cambria Math" w:hAnsi="Cambria Math"/>
                <w:sz w:val="7"/>
                <w:szCs w:val="7"/>
                <w:color w:val="auto"/>
              </w:rPr>
              <w:t>≥</w:t>
            </w:r>
            <w:r>
              <w:rPr>
                <w:rFonts w:ascii="Times New Roman" w:cs="Times New Roman" w:eastAsia="Times New Roman" w:hAnsi="Times New Roman"/>
                <w:sz w:val="7"/>
                <w:szCs w:val="7"/>
                <w:color w:val="auto"/>
              </w:rPr>
              <w:t xml:space="preserve">  </w:t>
            </w:r>
            <w:r>
              <w:rPr>
                <w:rFonts w:ascii="宋体" w:cs="宋体" w:eastAsia="宋体" w:hAnsi="宋体"/>
                <w:sz w:val="7"/>
                <w:szCs w:val="7"/>
                <w:color w:val="auto"/>
              </w:rPr>
              <w:t>（</w:t>
            </w:r>
            <w:r>
              <w:rPr>
                <w:rFonts w:ascii="Times New Roman" w:cs="Times New Roman" w:eastAsia="Times New Roman" w:hAnsi="Times New Roman"/>
                <w:sz w:val="7"/>
                <w:szCs w:val="7"/>
                <w:i w:val="1"/>
                <w:iCs w:val="1"/>
                <w:color w:val="auto"/>
              </w:rPr>
              <w:t>M</w:t>
            </w:r>
            <w:r>
              <w:rPr>
                <w:rFonts w:ascii="Cambria Math" w:cs="Cambria Math" w:eastAsia="Cambria Math" w:hAnsi="Cambria Math"/>
                <w:sz w:val="7"/>
                <w:szCs w:val="7"/>
                <w:color w:val="auto"/>
              </w:rPr>
              <w:t>&gt;</w:t>
            </w:r>
            <w:r>
              <w:rPr>
                <w:rFonts w:ascii="Times New Roman" w:cs="Times New Roman" w:eastAsia="Times New Roman" w:hAnsi="Times New Roman"/>
                <w:sz w:val="7"/>
                <w:szCs w:val="7"/>
                <w:color w:val="auto"/>
              </w:rPr>
              <w:t>1</w:t>
            </w:r>
            <w:r>
              <w:rPr>
                <w:rFonts w:ascii="宋体" w:cs="宋体" w:eastAsia="宋体" w:hAnsi="宋体"/>
                <w:sz w:val="7"/>
                <w:szCs w:val="7"/>
                <w:color w:val="auto"/>
              </w:rPr>
              <w:t>）</w:t>
            </w:r>
          </w:p>
        </w:tc>
        <w:tc>
          <w:tcPr>
            <w:tcW w:w="0" w:type="dxa"/>
            <w:vAlign w:val="bottom"/>
          </w:tcPr>
          <w:p>
            <w:pPr>
              <w:spacing w:after="0"/>
              <w:rPr>
                <w:sz w:val="1"/>
                <w:szCs w:val="1"/>
                <w:color w:val="auto"/>
              </w:rPr>
            </w:pPr>
          </w:p>
        </w:tc>
      </w:tr>
      <w:tr>
        <w:trPr>
          <w:trHeight w:val="245"/>
        </w:trPr>
        <w:tc>
          <w:tcPr>
            <w:tcW w:w="1440" w:type="dxa"/>
            <w:vAlign w:val="bottom"/>
            <w:tcBorders>
              <w:left w:val="single" w:sz="8" w:color="auto"/>
              <w:right w:val="single" w:sz="8" w:color="auto"/>
            </w:tcBorders>
            <w:vMerge w:val="continue"/>
          </w:tcPr>
          <w:p>
            <w:pPr>
              <w:spacing w:after="0"/>
              <w:rPr>
                <w:sz w:val="21"/>
                <w:szCs w:val="21"/>
                <w:color w:val="auto"/>
              </w:rPr>
            </w:pPr>
          </w:p>
        </w:tc>
        <w:tc>
          <w:tcPr>
            <w:tcW w:w="3500" w:type="dxa"/>
            <w:vAlign w:val="bottom"/>
            <w:tcBorders>
              <w:right w:val="single" w:sz="8" w:color="auto"/>
            </w:tcBorders>
            <w:vMerge w:val="restart"/>
          </w:tcPr>
          <w:p>
            <w:pPr>
              <w:jc w:val="center"/>
              <w:ind w:right="15"/>
              <w:spacing w:after="0" w:line="542" w:lineRule="exact"/>
              <w:rPr>
                <w:sz w:val="20"/>
                <w:szCs w:val="20"/>
                <w:color w:val="auto"/>
              </w:rPr>
            </w:pPr>
            <w:r>
              <w:rPr>
                <w:rFonts w:ascii="Times New Roman" w:cs="Times New Roman" w:eastAsia="Times New Roman" w:hAnsi="Times New Roman"/>
                <w:sz w:val="12"/>
                <w:szCs w:val="12"/>
                <w:color w:val="auto"/>
              </w:rPr>
              <w:t>H</w:t>
            </w:r>
            <w:r>
              <w:rPr>
                <w:rFonts w:ascii="Times New Roman" w:cs="Times New Roman" w:eastAsia="Times New Roman" w:hAnsi="Times New Roman"/>
                <w:sz w:val="9"/>
                <w:szCs w:val="9"/>
                <w:color w:val="auto"/>
              </w:rPr>
              <w:t>1</w:t>
            </w:r>
            <w:r>
              <w:rPr>
                <w:rFonts w:ascii="宋体" w:cs="宋体" w:eastAsia="宋体" w:hAnsi="宋体"/>
                <w:sz w:val="12"/>
                <w:szCs w:val="12"/>
                <w:color w:val="auto"/>
              </w:rPr>
              <w:t>：</w:t>
            </w:r>
            <w:r>
              <w:rPr>
                <w:rFonts w:ascii="Times New Roman" w:cs="Times New Roman" w:eastAsia="Times New Roman" w:hAnsi="Times New Roman"/>
                <w:sz w:val="12"/>
                <w:szCs w:val="12"/>
                <w:i w:val="1"/>
                <w:iCs w:val="1"/>
                <w:color w:val="auto"/>
              </w:rPr>
              <w:t>T</w:t>
            </w:r>
            <w:r>
              <w:rPr>
                <w:rFonts w:ascii="Times New Roman" w:cs="Times New Roman" w:eastAsia="Times New Roman" w:hAnsi="Times New Roman"/>
                <w:sz w:val="12"/>
                <w:szCs w:val="12"/>
                <w:color w:val="auto"/>
              </w:rPr>
              <w:t xml:space="preserve"> / </w:t>
            </w:r>
            <w:r>
              <w:rPr>
                <w:rFonts w:ascii="Times New Roman" w:cs="Times New Roman" w:eastAsia="Times New Roman" w:hAnsi="Times New Roman"/>
                <w:sz w:val="12"/>
                <w:szCs w:val="12"/>
                <w:i w:val="1"/>
                <w:iCs w:val="1"/>
                <w:color w:val="auto"/>
              </w:rPr>
              <w:t>C</w:t>
            </w:r>
            <w:r>
              <w:rPr>
                <w:rFonts w:ascii="Times New Roman" w:cs="Times New Roman" w:eastAsia="Times New Roman" w:hAnsi="Times New Roman"/>
                <w:sz w:val="12"/>
                <w:szCs w:val="12"/>
                <w:color w:val="auto"/>
              </w:rPr>
              <w:t xml:space="preserve">  </w:t>
            </w:r>
            <w:r>
              <w:rPr>
                <w:rFonts w:ascii="Cambria Math" w:cs="Cambria Math" w:eastAsia="Cambria Math" w:hAnsi="Cambria Math"/>
                <w:sz w:val="12"/>
                <w:szCs w:val="12"/>
                <w:color w:val="auto"/>
              </w:rPr>
              <w:t>&gt; 1⁄</w:t>
            </w:r>
            <w:r>
              <w:rPr>
                <w:rFonts w:ascii="Times New Roman" w:cs="Times New Roman" w:eastAsia="Times New Roman" w:hAnsi="Times New Roman"/>
                <w:sz w:val="12"/>
                <w:szCs w:val="12"/>
                <w:color w:val="auto"/>
              </w:rPr>
              <w:t xml:space="preserve">  </w:t>
            </w:r>
            <w:r>
              <w:rPr>
                <w:rFonts w:ascii="宋体" w:cs="宋体" w:eastAsia="宋体" w:hAnsi="宋体"/>
                <w:sz w:val="12"/>
                <w:szCs w:val="12"/>
                <w:color w:val="auto"/>
              </w:rPr>
              <w:t>（</w:t>
            </w:r>
            <w:r>
              <w:rPr>
                <w:rFonts w:ascii="Times New Roman" w:cs="Times New Roman" w:eastAsia="Times New Roman" w:hAnsi="Times New Roman"/>
                <w:sz w:val="12"/>
                <w:szCs w:val="12"/>
                <w:i w:val="1"/>
                <w:iCs w:val="1"/>
                <w:color w:val="auto"/>
              </w:rPr>
              <w:t>M</w:t>
            </w:r>
            <w:r>
              <w:rPr>
                <w:rFonts w:ascii="Cambria Math" w:cs="Cambria Math" w:eastAsia="Cambria Math" w:hAnsi="Cambria Math"/>
                <w:sz w:val="12"/>
                <w:szCs w:val="12"/>
                <w:color w:val="auto"/>
              </w:rPr>
              <w:t>&gt;</w:t>
            </w:r>
            <w:r>
              <w:rPr>
                <w:rFonts w:ascii="Times New Roman" w:cs="Times New Roman" w:eastAsia="Times New Roman" w:hAnsi="Times New Roman"/>
                <w:sz w:val="12"/>
                <w:szCs w:val="12"/>
                <w:color w:val="auto"/>
              </w:rPr>
              <w:t>1</w:t>
            </w:r>
            <w:r>
              <w:rPr>
                <w:rFonts w:ascii="宋体" w:cs="宋体" w:eastAsia="宋体" w:hAnsi="宋体"/>
                <w:sz w:val="12"/>
                <w:szCs w:val="12"/>
                <w:color w:val="auto"/>
              </w:rPr>
              <w:t>）</w:t>
            </w:r>
          </w:p>
        </w:tc>
        <w:tc>
          <w:tcPr>
            <w:tcW w:w="3380" w:type="dxa"/>
            <w:vAlign w:val="bottom"/>
            <w:tcBorders>
              <w:right w:val="single" w:sz="8" w:color="auto"/>
            </w:tcBorders>
            <w:vMerge w:val="restart"/>
          </w:tcPr>
          <w:p>
            <w:pPr>
              <w:ind w:left="100"/>
              <w:spacing w:after="0" w:line="542" w:lineRule="exact"/>
              <w:rPr>
                <w:sz w:val="20"/>
                <w:szCs w:val="20"/>
                <w:color w:val="auto"/>
              </w:rPr>
            </w:pPr>
            <w:r>
              <w:rPr>
                <w:rFonts w:ascii="Times New Roman" w:cs="Times New Roman" w:eastAsia="Times New Roman" w:hAnsi="Times New Roman"/>
                <w:sz w:val="12"/>
                <w:szCs w:val="12"/>
                <w:color w:val="auto"/>
              </w:rPr>
              <w:t>H</w:t>
            </w:r>
            <w:r>
              <w:rPr>
                <w:rFonts w:ascii="Times New Roman" w:cs="Times New Roman" w:eastAsia="Times New Roman" w:hAnsi="Times New Roman"/>
                <w:sz w:val="9"/>
                <w:szCs w:val="9"/>
                <w:color w:val="auto"/>
              </w:rPr>
              <w:t>1</w:t>
            </w:r>
            <w:r>
              <w:rPr>
                <w:rFonts w:ascii="宋体" w:cs="宋体" w:eastAsia="宋体" w:hAnsi="宋体"/>
                <w:sz w:val="12"/>
                <w:szCs w:val="12"/>
                <w:color w:val="auto"/>
              </w:rPr>
              <w:t>：</w:t>
            </w:r>
            <w:r>
              <w:rPr>
                <w:rFonts w:ascii="Times New Roman" w:cs="Times New Roman" w:eastAsia="Times New Roman" w:hAnsi="Times New Roman"/>
                <w:sz w:val="12"/>
                <w:szCs w:val="12"/>
                <w:i w:val="1"/>
                <w:iCs w:val="1"/>
                <w:color w:val="auto"/>
              </w:rPr>
              <w:t>T</w:t>
            </w:r>
            <w:r>
              <w:rPr>
                <w:rFonts w:ascii="Times New Roman" w:cs="Times New Roman" w:eastAsia="Times New Roman" w:hAnsi="Times New Roman"/>
                <w:sz w:val="12"/>
                <w:szCs w:val="12"/>
                <w:color w:val="auto"/>
              </w:rPr>
              <w:t xml:space="preserve"> / </w:t>
            </w:r>
            <w:r>
              <w:rPr>
                <w:rFonts w:ascii="Times New Roman" w:cs="Times New Roman" w:eastAsia="Times New Roman" w:hAnsi="Times New Roman"/>
                <w:sz w:val="12"/>
                <w:szCs w:val="12"/>
                <w:i w:val="1"/>
                <w:iCs w:val="1"/>
                <w:color w:val="auto"/>
              </w:rPr>
              <w:t>C</w:t>
            </w:r>
            <w:r>
              <w:rPr>
                <w:rFonts w:ascii="Times New Roman" w:cs="Times New Roman" w:eastAsia="Times New Roman" w:hAnsi="Times New Roman"/>
                <w:sz w:val="12"/>
                <w:szCs w:val="12"/>
                <w:color w:val="auto"/>
              </w:rPr>
              <w:t xml:space="preserve">  </w:t>
            </w:r>
            <w:r>
              <w:rPr>
                <w:rFonts w:ascii="Cambria Math" w:cs="Cambria Math" w:eastAsia="Cambria Math" w:hAnsi="Cambria Math"/>
                <w:sz w:val="12"/>
                <w:szCs w:val="12"/>
                <w:color w:val="auto"/>
              </w:rPr>
              <w:t>&lt;</w:t>
            </w:r>
            <w:r>
              <w:rPr>
                <w:rFonts w:ascii="Times New Roman" w:cs="Times New Roman" w:eastAsia="Times New Roman" w:hAnsi="Times New Roman"/>
                <w:sz w:val="12"/>
                <w:szCs w:val="12"/>
                <w:color w:val="auto"/>
              </w:rPr>
              <w:t xml:space="preserve">  </w:t>
            </w:r>
            <w:r>
              <w:rPr>
                <w:rFonts w:ascii="宋体" w:cs="宋体" w:eastAsia="宋体" w:hAnsi="宋体"/>
                <w:sz w:val="12"/>
                <w:szCs w:val="12"/>
                <w:color w:val="auto"/>
              </w:rPr>
              <w:t>（</w:t>
            </w:r>
            <w:r>
              <w:rPr>
                <w:rFonts w:ascii="Times New Roman" w:cs="Times New Roman" w:eastAsia="Times New Roman" w:hAnsi="Times New Roman"/>
                <w:sz w:val="12"/>
                <w:szCs w:val="12"/>
                <w:i w:val="1"/>
                <w:iCs w:val="1"/>
                <w:color w:val="auto"/>
              </w:rPr>
              <w:t>M</w:t>
            </w:r>
            <w:r>
              <w:rPr>
                <w:rFonts w:ascii="Cambria Math" w:cs="Cambria Math" w:eastAsia="Cambria Math" w:hAnsi="Cambria Math"/>
                <w:sz w:val="12"/>
                <w:szCs w:val="12"/>
                <w:color w:val="auto"/>
              </w:rPr>
              <w:t>&gt;</w:t>
            </w:r>
            <w:r>
              <w:rPr>
                <w:rFonts w:ascii="Times New Roman" w:cs="Times New Roman" w:eastAsia="Times New Roman" w:hAnsi="Times New Roman"/>
                <w:sz w:val="12"/>
                <w:szCs w:val="12"/>
                <w:color w:val="auto"/>
              </w:rPr>
              <w:t>1</w:t>
            </w:r>
            <w:r>
              <w:rPr>
                <w:rFonts w:ascii="宋体" w:cs="宋体" w:eastAsia="宋体" w:hAnsi="宋体"/>
                <w:sz w:val="12"/>
                <w:szCs w:val="12"/>
                <w:color w:val="auto"/>
              </w:rPr>
              <w:t>）</w:t>
            </w:r>
          </w:p>
        </w:tc>
        <w:tc>
          <w:tcPr>
            <w:tcW w:w="0" w:type="dxa"/>
            <w:vAlign w:val="bottom"/>
          </w:tcPr>
          <w:p>
            <w:pPr>
              <w:spacing w:after="0"/>
              <w:rPr>
                <w:sz w:val="1"/>
                <w:szCs w:val="1"/>
                <w:color w:val="auto"/>
              </w:rPr>
            </w:pPr>
          </w:p>
        </w:tc>
      </w:tr>
      <w:tr>
        <w:trPr>
          <w:trHeight w:val="298"/>
        </w:trPr>
        <w:tc>
          <w:tcPr>
            <w:tcW w:w="1440" w:type="dxa"/>
            <w:vAlign w:val="bottom"/>
            <w:tcBorders>
              <w:left w:val="single" w:sz="8" w:color="auto"/>
              <w:right w:val="single" w:sz="8" w:color="auto"/>
            </w:tcBorders>
          </w:tcPr>
          <w:p>
            <w:pPr>
              <w:spacing w:after="0"/>
              <w:rPr>
                <w:sz w:val="24"/>
                <w:szCs w:val="24"/>
                <w:color w:val="auto"/>
              </w:rPr>
            </w:pPr>
          </w:p>
        </w:tc>
        <w:tc>
          <w:tcPr>
            <w:tcW w:w="3500" w:type="dxa"/>
            <w:vAlign w:val="bottom"/>
            <w:tcBorders>
              <w:right w:val="single" w:sz="8" w:color="auto"/>
            </w:tcBorders>
            <w:vMerge w:val="continue"/>
          </w:tcPr>
          <w:p>
            <w:pPr>
              <w:spacing w:after="0"/>
              <w:rPr>
                <w:sz w:val="24"/>
                <w:szCs w:val="24"/>
                <w:color w:val="auto"/>
              </w:rPr>
            </w:pPr>
          </w:p>
        </w:tc>
        <w:tc>
          <w:tcPr>
            <w:tcW w:w="338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202"/>
        </w:trPr>
        <w:tc>
          <w:tcPr>
            <w:tcW w:w="1440" w:type="dxa"/>
            <w:vAlign w:val="bottom"/>
            <w:tcBorders>
              <w:left w:val="single" w:sz="8" w:color="auto"/>
              <w:bottom w:val="single" w:sz="8" w:color="auto"/>
              <w:right w:val="single" w:sz="8" w:color="auto"/>
            </w:tcBorders>
          </w:tcPr>
          <w:p>
            <w:pPr>
              <w:spacing w:after="0"/>
              <w:rPr>
                <w:sz w:val="17"/>
                <w:szCs w:val="17"/>
                <w:color w:val="auto"/>
              </w:rPr>
            </w:pPr>
          </w:p>
        </w:tc>
        <w:tc>
          <w:tcPr>
            <w:tcW w:w="3500" w:type="dxa"/>
            <w:vAlign w:val="bottom"/>
            <w:tcBorders>
              <w:bottom w:val="single" w:sz="8" w:color="auto"/>
              <w:right w:val="single" w:sz="8" w:color="auto"/>
            </w:tcBorders>
          </w:tcPr>
          <w:p>
            <w:pPr>
              <w:spacing w:after="0"/>
              <w:rPr>
                <w:sz w:val="17"/>
                <w:szCs w:val="17"/>
                <w:color w:val="auto"/>
              </w:rPr>
            </w:pPr>
          </w:p>
        </w:tc>
        <w:tc>
          <w:tcPr>
            <w:tcW w:w="338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5494655</wp:posOffset>
                </wp:positionH>
                <wp:positionV relativeFrom="paragraph">
                  <wp:posOffset>-8890</wp:posOffset>
                </wp:positionV>
                <wp:extent cx="12700" cy="12065"/>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065"/>
                        </a:xfrm>
                        <a:prstGeom prst="rect">
                          <a:avLst/>
                        </a:prstGeom>
                        <a:solidFill>
                          <a:srgbClr val="000000"/>
                        </a:solidFill>
                      </wps:spPr>
                      <wps:bodyPr/>
                    </wps:wsp>
                  </a:graphicData>
                </a:graphic>
              </wp:anchor>
            </w:drawing>
          </mc:Choice>
          <mc:Fallback>
            <w:pict>
              <v:rect id="Shape 6" o:spid="_x0000_s1031" style="position:absolute;margin-left:432.65pt;margin-top:-0.6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ind w:left="360"/>
        <w:spacing w:after="0" w:line="270" w:lineRule="exact"/>
        <w:rPr>
          <w:sz w:val="20"/>
          <w:szCs w:val="20"/>
          <w:color w:val="auto"/>
        </w:rPr>
      </w:pPr>
      <w:r>
        <w:rPr>
          <w:rFonts w:ascii="Times New Roman" w:cs="Times New Roman" w:eastAsia="Times New Roman" w:hAnsi="Times New Roman"/>
          <w:sz w:val="24"/>
          <w:szCs w:val="24"/>
          <w:color w:val="auto"/>
        </w:rPr>
        <w:t>*</w:t>
      </w:r>
      <w:r>
        <w:rPr>
          <w:rFonts w:ascii="Times New Roman" w:cs="Times New Roman" w:eastAsia="Times New Roman" w:hAnsi="Times New Roman"/>
          <w:sz w:val="24"/>
          <w:szCs w:val="24"/>
          <w:i w:val="1"/>
          <w:iCs w:val="1"/>
          <w:color w:val="auto"/>
        </w:rPr>
        <w:t>T</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代表试验组效应，</w:t>
      </w:r>
      <w:r>
        <w:rPr>
          <w:rFonts w:ascii="Times New Roman" w:cs="Times New Roman" w:eastAsia="Times New Roman" w:hAnsi="Times New Roman"/>
          <w:sz w:val="24"/>
          <w:szCs w:val="24"/>
          <w:i w:val="1"/>
          <w:iCs w:val="1"/>
          <w:color w:val="auto"/>
        </w:rPr>
        <w:t>C</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代表阳性对照组效应，</w:t>
      </w:r>
      <w:r>
        <w:rPr>
          <w:rFonts w:ascii="Times New Roman" w:cs="Times New Roman" w:eastAsia="Times New Roman" w:hAnsi="Times New Roman"/>
          <w:sz w:val="24"/>
          <w:szCs w:val="24"/>
          <w:i w:val="1"/>
          <w:iCs w:val="1"/>
          <w:color w:val="auto"/>
        </w:rPr>
        <w:t>M</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代表非劣效界值。</w:t>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（二）阳性对照药</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非劣效试验所选择的阳性对照药必须具有其疗效优于</w:t>
      </w:r>
    </w:p>
    <w:p>
      <w:pPr>
        <w:spacing w:after="0" w:line="266" w:lineRule="exact"/>
        <w:rPr>
          <w:sz w:val="20"/>
          <w:szCs w:val="20"/>
          <w:color w:val="auto"/>
        </w:rPr>
      </w:pPr>
    </w:p>
    <w:p>
      <w:pPr>
        <w:jc w:val="center"/>
        <w:ind w:right="-15"/>
        <w:spacing w:after="0" w:line="354" w:lineRule="exact"/>
        <w:rPr>
          <w:sz w:val="20"/>
          <w:szCs w:val="20"/>
          <w:color w:val="auto"/>
        </w:rPr>
      </w:pPr>
      <w:r>
        <w:rPr>
          <w:rFonts w:ascii="宋体" w:cs="宋体" w:eastAsia="宋体" w:hAnsi="宋体"/>
          <w:sz w:val="31"/>
          <w:szCs w:val="31"/>
          <w:color w:val="auto"/>
        </w:rPr>
        <w:t>安慰剂的明确和充分的证据，包括可靠的疗效差异估计。阳</w:t>
      </w:r>
    </w:p>
    <w:p>
      <w:pPr>
        <w:spacing w:after="0" w:line="270" w:lineRule="exact"/>
        <w:rPr>
          <w:sz w:val="20"/>
          <w:szCs w:val="20"/>
          <w:color w:val="auto"/>
        </w:rPr>
      </w:pPr>
    </w:p>
    <w:p>
      <w:pPr>
        <w:jc w:val="center"/>
        <w:ind w:right="-15"/>
        <w:spacing w:after="0" w:line="354" w:lineRule="exact"/>
        <w:rPr>
          <w:sz w:val="20"/>
          <w:szCs w:val="20"/>
          <w:color w:val="auto"/>
        </w:rPr>
      </w:pPr>
      <w:r>
        <w:rPr>
          <w:rFonts w:ascii="宋体" w:cs="宋体" w:eastAsia="宋体" w:hAnsi="宋体"/>
          <w:sz w:val="31"/>
          <w:szCs w:val="31"/>
          <w:color w:val="auto"/>
        </w:rPr>
        <w:t>性对照药应选择当前标准疗法或者最佳疗法的药物。如果所</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选的阳性对照药的疗效证据不充分，那么将其用于评价其他</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新药疗效会存在巨大风险。</w:t>
      </w:r>
    </w:p>
    <w:p>
      <w:pPr>
        <w:spacing w:after="0" w:line="254"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（三）分析人群</w:t>
      </w:r>
    </w:p>
    <w:p>
      <w:pPr>
        <w:spacing w:after="0" w:line="260"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优效试验基于意向性治疗原则进行统计分析通常被认</w:t>
      </w:r>
    </w:p>
    <w:p>
      <w:pPr>
        <w:spacing w:after="0" w:line="270" w:lineRule="exact"/>
        <w:rPr>
          <w:sz w:val="20"/>
          <w:szCs w:val="20"/>
          <w:color w:val="auto"/>
        </w:rPr>
      </w:pPr>
    </w:p>
    <w:p>
      <w:pPr>
        <w:jc w:val="center"/>
        <w:ind w:right="-15"/>
        <w:spacing w:after="0" w:line="354" w:lineRule="exact"/>
        <w:rPr>
          <w:sz w:val="20"/>
          <w:szCs w:val="20"/>
          <w:color w:val="auto"/>
        </w:rPr>
      </w:pPr>
      <w:r>
        <w:rPr>
          <w:rFonts w:ascii="宋体" w:cs="宋体" w:eastAsia="宋体" w:hAnsi="宋体"/>
          <w:sz w:val="31"/>
          <w:szCs w:val="31"/>
          <w:color w:val="auto"/>
        </w:rPr>
        <w:t>为是保守的，但应用于非劣效试验则不一定保守。一些试验</w:t>
      </w: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60"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4</w:t>
      </w:r>
    </w:p>
    <w:p>
      <w:pPr>
        <w:sectPr>
          <w:pgSz w:w="11900" w:h="16838" w:orient="portrait"/>
          <w:cols w:equalWidth="0" w:num="1">
            <w:col w:w="9024"/>
          </w:cols>
          <w:pgMar w:left="1440" w:top="1440" w:right="1440" w:bottom="433" w:gutter="0" w:footer="0" w:header="0"/>
          <w:type w:val="continuous"/>
        </w:sectPr>
      </w:pPr>
    </w:p>
    <w:bookmarkStart w:id="6" w:name="page7"/>
    <w:bookmarkEnd w:id="6"/>
    <w:p>
      <w:pPr>
        <w:spacing w:after="0" w:line="47" w:lineRule="exact"/>
        <w:rPr>
          <w:sz w:val="20"/>
          <w:szCs w:val="20"/>
          <w:color w:val="auto"/>
        </w:rPr>
      </w:pPr>
    </w:p>
    <w:p>
      <w:pPr>
        <w:ind w:left="360" w:right="204"/>
        <w:spacing w:after="0" w:line="546" w:lineRule="exact"/>
        <w:rPr>
          <w:sz w:val="20"/>
          <w:szCs w:val="20"/>
          <w:color w:val="auto"/>
        </w:rPr>
      </w:pPr>
      <w:r>
        <w:rPr>
          <w:rFonts w:ascii="宋体" w:cs="宋体" w:eastAsia="宋体" w:hAnsi="宋体"/>
          <w:sz w:val="32"/>
          <w:szCs w:val="32"/>
          <w:color w:val="auto"/>
        </w:rPr>
        <w:t>质量问题，如依从性差、脱落率高、主要终点错误分类等，可能会掩盖试验组和对照组之间的治疗差异，从而导致实际上比对照药劣效的试验药错误的获得非劣效于对照药的结论。</w:t>
      </w:r>
    </w:p>
    <w:p>
      <w:pPr>
        <w:spacing w:after="0" w:line="308" w:lineRule="exact"/>
        <w:rPr>
          <w:sz w:val="20"/>
          <w:szCs w:val="20"/>
          <w:color w:val="auto"/>
        </w:rPr>
      </w:pPr>
    </w:p>
    <w:p>
      <w:pPr>
        <w:ind w:left="360" w:right="204" w:firstLine="638"/>
        <w:spacing w:after="0" w:line="578" w:lineRule="exact"/>
        <w:rPr>
          <w:sz w:val="20"/>
          <w:szCs w:val="20"/>
          <w:color w:val="auto"/>
        </w:rPr>
      </w:pPr>
      <w:r>
        <w:rPr>
          <w:rFonts w:ascii="宋体" w:cs="宋体" w:eastAsia="宋体" w:hAnsi="宋体"/>
          <w:sz w:val="32"/>
          <w:szCs w:val="32"/>
          <w:color w:val="auto"/>
        </w:rPr>
        <w:t>另一方面，受试者是否遵守试验方案可能与接受何种药物和治疗的结果有关，因此按符合方案集进行分析也可能引入偏倚。比如要评价能够耐受并继续接受治疗的受试者的疗效，符合方案集未必反映了不同治疗方案下相似的受试者。任何按符合方案集进行的分析都应针对临床所关注的人群的疗效，确认是由于治疗而不是潜在的混杂因素（例如观察时间或患者特征的差异等）引起的效应。</w:t>
      </w:r>
    </w:p>
    <w:p>
      <w:pPr>
        <w:spacing w:after="0" w:line="314" w:lineRule="exact"/>
        <w:rPr>
          <w:sz w:val="20"/>
          <w:szCs w:val="20"/>
          <w:color w:val="auto"/>
        </w:rPr>
      </w:pPr>
    </w:p>
    <w:p>
      <w:pPr>
        <w:jc w:val="both"/>
        <w:ind w:left="360" w:right="364" w:firstLine="638"/>
        <w:spacing w:after="0" w:line="562" w:lineRule="exact"/>
        <w:rPr>
          <w:sz w:val="20"/>
          <w:szCs w:val="20"/>
          <w:color w:val="auto"/>
        </w:rPr>
      </w:pPr>
      <w:r>
        <w:rPr>
          <w:rFonts w:ascii="宋体" w:cs="宋体" w:eastAsia="宋体" w:hAnsi="宋体"/>
          <w:sz w:val="32"/>
          <w:szCs w:val="32"/>
          <w:color w:val="auto"/>
        </w:rPr>
        <w:t>建议在非劣效试验设计阶段就应该重视研究质量，并且在实施和分析阶段持续的监测以减少发生上述质量问题。如果非劣效试验是开放试验，由于很难证明试验入组、终点评估以及其他研究操作未引入偏倚，所以关注研究质量就更为重要。</w:t>
      </w:r>
    </w:p>
    <w:p>
      <w:pPr>
        <w:spacing w:after="0" w:line="259" w:lineRule="exact"/>
        <w:rPr>
          <w:sz w:val="20"/>
          <w:szCs w:val="20"/>
          <w:color w:val="auto"/>
        </w:rPr>
      </w:pPr>
    </w:p>
    <w:p>
      <w:pPr>
        <w:ind w:left="1000"/>
        <w:spacing w:after="0" w:line="366" w:lineRule="exact"/>
        <w:rPr>
          <w:sz w:val="20"/>
          <w:szCs w:val="20"/>
          <w:color w:val="auto"/>
        </w:rPr>
      </w:pPr>
      <w:r>
        <w:rPr>
          <w:rFonts w:ascii="黑体" w:cs="黑体" w:eastAsia="黑体" w:hAnsi="黑体"/>
          <w:sz w:val="32"/>
          <w:szCs w:val="32"/>
          <w:color w:val="auto"/>
        </w:rPr>
        <w:t>四、非劣效界值确定与统计推断</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非劣效界值是指试验药与阳性对照药相比在临床上可</w:t>
      </w:r>
    </w:p>
    <w:p>
      <w:pPr>
        <w:spacing w:after="0" w:line="266"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接受的最大疗效损失。因此，非劣效界值不应大于阳性对照</w:t>
      </w:r>
    </w:p>
    <w:p>
      <w:pPr>
        <w:spacing w:after="0" w:line="270"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药相对于安慰剂的临床获益，以确保试验药的疗效至少能够</w:t>
      </w:r>
    </w:p>
    <w:p>
      <w:pPr>
        <w:spacing w:after="0" w:line="260"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优于安慰剂。非劣效界值的确定通常应根据统计分析和临床</w:t>
      </w:r>
    </w:p>
    <w:p>
      <w:pPr>
        <w:spacing w:after="0" w:line="266"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判断综合考虑，并在试验方案中说明非劣效界值确定的依据。</w:t>
      </w: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41"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5</w:t>
      </w:r>
    </w:p>
    <w:p>
      <w:pPr>
        <w:sectPr>
          <w:pgSz w:w="11900" w:h="16838" w:orient="portrait"/>
          <w:cols w:equalWidth="0" w:num="1">
            <w:col w:w="9024"/>
          </w:cols>
          <w:pgMar w:left="1440" w:top="1440" w:right="1440" w:bottom="433" w:gutter="0" w:footer="0" w:header="0"/>
          <w:type w:val="continuous"/>
        </w:sectPr>
      </w:pPr>
    </w:p>
    <w:bookmarkStart w:id="7" w:name="page8"/>
    <w:bookmarkEnd w:id="7"/>
    <w:p>
      <w:pPr>
        <w:spacing w:after="0" w:line="1"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非劣效界值的确定及其统计推断主要包括固定界值法</w:t>
      </w:r>
    </w:p>
    <w:p>
      <w:pPr>
        <w:spacing w:after="0" w:line="270"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和综合法，一般情况下固定界值法可以更直观地描述试验药</w:t>
      </w:r>
    </w:p>
    <w:p>
      <w:pPr>
        <w:spacing w:after="0" w:line="255"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物的疗效。</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（一）固定界值法</w:t>
      </w:r>
    </w:p>
    <w:p>
      <w:pPr>
        <w:spacing w:after="0" w:line="264" w:lineRule="exact"/>
        <w:rPr>
          <w:sz w:val="20"/>
          <w:szCs w:val="20"/>
          <w:color w:val="auto"/>
        </w:rPr>
      </w:pPr>
    </w:p>
    <w:p>
      <w:pPr>
        <w:ind w:left="1000"/>
        <w:spacing w:after="0" w:line="390" w:lineRule="exact"/>
        <w:rPr>
          <w:sz w:val="20"/>
          <w:szCs w:val="20"/>
          <w:color w:val="auto"/>
        </w:rPr>
      </w:pPr>
      <w:r>
        <w:rPr>
          <w:rFonts w:ascii="宋体" w:cs="宋体" w:eastAsia="宋体" w:hAnsi="宋体"/>
          <w:sz w:val="32"/>
          <w:szCs w:val="32"/>
          <w:color w:val="auto"/>
        </w:rPr>
        <w:t>阳性对照药与安慰剂的疗效差异用</w:t>
      </w:r>
      <w:r>
        <w:rPr>
          <w:rFonts w:ascii="Times New Roman" w:cs="Times New Roman" w:eastAsia="Times New Roman" w:hAnsi="Times New Roman"/>
          <w:sz w:val="32"/>
          <w:szCs w:val="32"/>
          <w:i w:val="1"/>
          <w:iCs w:val="1"/>
          <w:color w:val="auto"/>
        </w:rPr>
        <w:t xml:space="preserve"> M</w:t>
      </w:r>
      <w:r>
        <w:rPr>
          <w:rFonts w:ascii="Times New Roman" w:cs="Times New Roman" w:eastAsia="Times New Roman" w:hAnsi="Times New Roman"/>
          <w:sz w:val="21"/>
          <w:szCs w:val="21"/>
          <w:color w:val="auto"/>
        </w:rPr>
        <w:t>1</w:t>
      </w:r>
      <w:r>
        <w:rPr>
          <w:rFonts w:ascii="Times New Roman" w:cs="Times New Roman" w:eastAsia="Times New Roman" w:hAnsi="Times New Roman"/>
          <w:sz w:val="32"/>
          <w:szCs w:val="32"/>
          <w:i w:val="1"/>
          <w:iCs w:val="1"/>
          <w:color w:val="auto"/>
        </w:rPr>
        <w:t xml:space="preserve"> </w:t>
      </w:r>
      <w:r>
        <w:rPr>
          <w:rFonts w:ascii="宋体" w:cs="宋体" w:eastAsia="宋体" w:hAnsi="宋体"/>
          <w:sz w:val="32"/>
          <w:szCs w:val="32"/>
          <w:color w:val="auto"/>
        </w:rPr>
        <w:t>表示，其估计通</w:t>
      </w:r>
    </w:p>
    <w:p>
      <w:pPr>
        <w:spacing w:after="0" w:line="225" w:lineRule="exact"/>
        <w:rPr>
          <w:sz w:val="20"/>
          <w:szCs w:val="20"/>
          <w:color w:val="auto"/>
        </w:rPr>
      </w:pPr>
    </w:p>
    <w:p>
      <w:pPr>
        <w:jc w:val="center"/>
        <w:ind w:right="4"/>
        <w:spacing w:after="0" w:line="366" w:lineRule="exact"/>
        <w:rPr>
          <w:sz w:val="20"/>
          <w:szCs w:val="20"/>
          <w:color w:val="auto"/>
        </w:rPr>
      </w:pPr>
      <w:r>
        <w:rPr>
          <w:rFonts w:ascii="宋体" w:cs="宋体" w:eastAsia="宋体" w:hAnsi="宋体"/>
          <w:sz w:val="32"/>
          <w:szCs w:val="32"/>
          <w:color w:val="auto"/>
        </w:rPr>
        <w:t>常依赖于既往阳性对照药与安慰剂的优效试验的疗效差异</w:t>
      </w:r>
    </w:p>
    <w:p>
      <w:pPr>
        <w:spacing w:after="0" w:line="271" w:lineRule="exact"/>
        <w:rPr>
          <w:sz w:val="20"/>
          <w:szCs w:val="20"/>
          <w:color w:val="auto"/>
        </w:rPr>
      </w:pPr>
    </w:p>
    <w:p>
      <w:pPr>
        <w:ind w:left="360"/>
        <w:spacing w:after="0" w:line="378" w:lineRule="exact"/>
        <w:rPr>
          <w:sz w:val="20"/>
          <w:szCs w:val="20"/>
          <w:color w:val="auto"/>
        </w:rPr>
      </w:pPr>
      <w:r>
        <w:rPr>
          <w:rFonts w:ascii="宋体" w:cs="宋体" w:eastAsia="宋体" w:hAnsi="宋体"/>
          <w:sz w:val="31"/>
          <w:szCs w:val="31"/>
          <w:color w:val="auto"/>
        </w:rPr>
        <w:t>的</w:t>
      </w:r>
      <w:r>
        <w:rPr>
          <w:rFonts w:ascii="Times New Roman" w:cs="Times New Roman" w:eastAsia="Times New Roman" w:hAnsi="Times New Roman"/>
          <w:sz w:val="31"/>
          <w:szCs w:val="31"/>
          <w:color w:val="auto"/>
        </w:rPr>
        <w:t xml:space="preserve"> meta </w:t>
      </w:r>
      <w:r>
        <w:rPr>
          <w:rFonts w:ascii="宋体" w:cs="宋体" w:eastAsia="宋体" w:hAnsi="宋体"/>
          <w:sz w:val="31"/>
          <w:szCs w:val="31"/>
          <w:color w:val="auto"/>
        </w:rPr>
        <w:t>分析，通过分析得到疗效差异的单侧</w:t>
      </w:r>
      <w:r>
        <w:rPr>
          <w:rFonts w:ascii="Times New Roman" w:cs="Times New Roman" w:eastAsia="Times New Roman" w:hAnsi="Times New Roman"/>
          <w:sz w:val="31"/>
          <w:szCs w:val="31"/>
          <w:color w:val="auto"/>
        </w:rPr>
        <w:t xml:space="preserve"> 97.5%</w:t>
      </w:r>
      <w:r>
        <w:rPr>
          <w:rFonts w:ascii="宋体" w:cs="宋体" w:eastAsia="宋体" w:hAnsi="宋体"/>
          <w:sz w:val="31"/>
          <w:szCs w:val="31"/>
          <w:color w:val="auto"/>
        </w:rPr>
        <w:t>（或双侧</w:t>
      </w:r>
    </w:p>
    <w:p>
      <w:pPr>
        <w:spacing w:after="0" w:line="240"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color w:val="auto"/>
        </w:rPr>
        <w:t>95%</w:t>
      </w:r>
      <w:r>
        <w:rPr>
          <w:rFonts w:ascii="宋体" w:cs="宋体" w:eastAsia="宋体" w:hAnsi="宋体"/>
          <w:sz w:val="32"/>
          <w:szCs w:val="32"/>
          <w:color w:val="auto"/>
        </w:rPr>
        <w:t>）置信区间。</w:t>
      </w:r>
      <w:r>
        <w:rPr>
          <w:rFonts w:ascii="Times New Roman" w:cs="Times New Roman" w:eastAsia="Times New Roman" w:hAnsi="Times New Roman"/>
          <w:sz w:val="32"/>
          <w:szCs w:val="32"/>
          <w:i w:val="1"/>
          <w:iCs w:val="1"/>
          <w:color w:val="auto"/>
        </w:rPr>
        <w:t>M</w:t>
      </w:r>
      <w:r>
        <w:rPr>
          <w:rFonts w:ascii="Times New Roman" w:cs="Times New Roman" w:eastAsia="Times New Roman" w:hAnsi="Times New Roman"/>
          <w:sz w:val="21"/>
          <w:szCs w:val="21"/>
          <w:color w:val="auto"/>
        </w:rPr>
        <w:t>1</w:t>
      </w:r>
      <w:r>
        <w:rPr>
          <w:rFonts w:ascii="Times New Roman" w:cs="Times New Roman" w:eastAsia="Times New Roman" w:hAnsi="Times New Roman"/>
          <w:sz w:val="32"/>
          <w:szCs w:val="32"/>
          <w:color w:val="auto"/>
        </w:rPr>
        <w:t xml:space="preserve"> </w:t>
      </w:r>
      <w:r>
        <w:rPr>
          <w:rFonts w:ascii="宋体" w:cs="宋体" w:eastAsia="宋体" w:hAnsi="宋体"/>
          <w:sz w:val="32"/>
          <w:szCs w:val="32"/>
          <w:color w:val="auto"/>
        </w:rPr>
        <w:t>的确定方法详见图</w:t>
      </w:r>
      <w:r>
        <w:rPr>
          <w:rFonts w:ascii="Times New Roman" w:cs="Times New Roman" w:eastAsia="Times New Roman" w:hAnsi="Times New Roman"/>
          <w:sz w:val="32"/>
          <w:szCs w:val="32"/>
          <w:color w:val="auto"/>
        </w:rPr>
        <w:t xml:space="preserve"> 1 </w:t>
      </w:r>
      <w:r>
        <w:rPr>
          <w:rFonts w:ascii="宋体" w:cs="宋体" w:eastAsia="宋体" w:hAnsi="宋体"/>
          <w:sz w:val="32"/>
          <w:szCs w:val="32"/>
          <w:color w:val="auto"/>
        </w:rPr>
        <w:t>和图</w:t>
      </w:r>
      <w:r>
        <w:rPr>
          <w:rFonts w:ascii="Times New Roman" w:cs="Times New Roman" w:eastAsia="Times New Roman" w:hAnsi="Times New Roman"/>
          <w:sz w:val="32"/>
          <w:szCs w:val="32"/>
          <w:color w:val="auto"/>
        </w:rPr>
        <w:t xml:space="preserve"> 2</w:t>
      </w:r>
      <w:r>
        <w:rPr>
          <w:rFonts w:ascii="宋体" w:cs="宋体" w:eastAsia="宋体" w:hAnsi="宋体"/>
          <w:sz w:val="32"/>
          <w:szCs w:val="32"/>
          <w:color w:val="auto"/>
        </w:rPr>
        <w:t>。如果对既</w:t>
      </w:r>
    </w:p>
    <w:p>
      <w:pPr>
        <w:spacing w:after="0" w:line="230" w:lineRule="exact"/>
        <w:rPr>
          <w:sz w:val="20"/>
          <w:szCs w:val="20"/>
          <w:color w:val="auto"/>
        </w:rPr>
      </w:pPr>
    </w:p>
    <w:p>
      <w:pPr>
        <w:jc w:val="center"/>
        <w:ind w:right="4"/>
        <w:spacing w:after="0" w:line="390" w:lineRule="exact"/>
        <w:rPr>
          <w:sz w:val="20"/>
          <w:szCs w:val="20"/>
          <w:color w:val="auto"/>
        </w:rPr>
      </w:pPr>
      <w:r>
        <w:rPr>
          <w:rFonts w:ascii="宋体" w:cs="宋体" w:eastAsia="宋体" w:hAnsi="宋体"/>
          <w:sz w:val="32"/>
          <w:szCs w:val="32"/>
          <w:color w:val="auto"/>
        </w:rPr>
        <w:t>往证据的变异性和恒定假设存在顾虑，可采用</w:t>
      </w:r>
      <w:r>
        <w:rPr>
          <w:rFonts w:ascii="Times New Roman" w:cs="Times New Roman" w:eastAsia="Times New Roman" w:hAnsi="Times New Roman"/>
          <w:sz w:val="32"/>
          <w:szCs w:val="32"/>
          <w:color w:val="auto"/>
        </w:rPr>
        <w:t>“</w:t>
      </w:r>
      <w:r>
        <w:rPr>
          <w:rFonts w:ascii="宋体" w:cs="宋体" w:eastAsia="宋体" w:hAnsi="宋体"/>
          <w:sz w:val="32"/>
          <w:szCs w:val="32"/>
          <w:color w:val="auto"/>
        </w:rPr>
        <w:t>折扣</w:t>
      </w:r>
      <w:r>
        <w:rPr>
          <w:rFonts w:ascii="Times New Roman" w:cs="Times New Roman" w:eastAsia="Times New Roman" w:hAnsi="Times New Roman"/>
          <w:sz w:val="32"/>
          <w:szCs w:val="32"/>
          <w:color w:val="auto"/>
        </w:rPr>
        <w:t>”</w:t>
      </w:r>
      <w:r>
        <w:rPr>
          <w:rFonts w:ascii="宋体" w:cs="宋体" w:eastAsia="宋体" w:hAnsi="宋体"/>
          <w:sz w:val="32"/>
          <w:szCs w:val="32"/>
          <w:color w:val="auto"/>
        </w:rPr>
        <w:t>策略确</w:t>
      </w:r>
    </w:p>
    <w:p>
      <w:pPr>
        <w:spacing w:after="0" w:line="267" w:lineRule="exact"/>
        <w:rPr>
          <w:sz w:val="20"/>
          <w:szCs w:val="20"/>
          <w:color w:val="auto"/>
        </w:rPr>
      </w:pPr>
    </w:p>
    <w:p>
      <w:pPr>
        <w:ind w:left="360" w:right="344" w:firstLine="1"/>
        <w:spacing w:after="0" w:line="490" w:lineRule="exact"/>
        <w:tabs>
          <w:tab w:leader="none" w:pos="773" w:val="left"/>
        </w:tabs>
        <w:numPr>
          <w:ilvl w:val="0"/>
          <w:numId w:val="2"/>
        </w:numPr>
        <w:rPr>
          <w:rFonts w:ascii="宋体" w:cs="宋体" w:eastAsia="宋体" w:hAnsi="宋体"/>
          <w:sz w:val="32"/>
          <w:szCs w:val="32"/>
          <w:color w:val="auto"/>
        </w:rPr>
      </w:pPr>
      <w:r>
        <w:rPr>
          <w:rFonts w:ascii="Times New Roman" w:cs="Times New Roman" w:eastAsia="Times New Roman" w:hAnsi="Times New Roman"/>
          <w:sz w:val="32"/>
          <w:szCs w:val="32"/>
          <w:i w:val="1"/>
          <w:iCs w:val="1"/>
          <w:color w:val="auto"/>
        </w:rPr>
        <w:t>M</w:t>
      </w:r>
      <w:r>
        <w:rPr>
          <w:rFonts w:ascii="Times New Roman" w:cs="Times New Roman" w:eastAsia="Times New Roman" w:hAnsi="Times New Roman"/>
          <w:sz w:val="21"/>
          <w:szCs w:val="21"/>
          <w:color w:val="auto"/>
        </w:rPr>
        <w:t>1</w:t>
      </w:r>
      <w:r>
        <w:rPr>
          <w:rFonts w:ascii="宋体" w:cs="宋体" w:eastAsia="宋体" w:hAnsi="宋体"/>
          <w:sz w:val="32"/>
          <w:szCs w:val="32"/>
          <w:color w:val="auto"/>
        </w:rPr>
        <w:t>，即将</w:t>
      </w:r>
      <w:r>
        <w:rPr>
          <w:rFonts w:ascii="Times New Roman" w:cs="Times New Roman" w:eastAsia="Times New Roman" w:hAnsi="Times New Roman"/>
          <w:sz w:val="32"/>
          <w:szCs w:val="32"/>
          <w:i w:val="1"/>
          <w:iCs w:val="1"/>
          <w:color w:val="auto"/>
        </w:rPr>
        <w:t xml:space="preserve"> M</w:t>
      </w:r>
      <w:r>
        <w:rPr>
          <w:rFonts w:ascii="Times New Roman" w:cs="Times New Roman" w:eastAsia="Times New Roman" w:hAnsi="Times New Roman"/>
          <w:sz w:val="21"/>
          <w:szCs w:val="21"/>
          <w:color w:val="auto"/>
        </w:rPr>
        <w:t>1</w:t>
      </w:r>
      <w:r>
        <w:rPr>
          <w:rFonts w:ascii="Times New Roman" w:cs="Times New Roman" w:eastAsia="Times New Roman" w:hAnsi="Times New Roman"/>
          <w:sz w:val="32"/>
          <w:szCs w:val="32"/>
          <w:i w:val="1"/>
          <w:iCs w:val="1"/>
          <w:color w:val="auto"/>
        </w:rPr>
        <w:t xml:space="preserve"> </w:t>
      </w:r>
      <w:r>
        <w:rPr>
          <w:rFonts w:ascii="宋体" w:cs="宋体" w:eastAsia="宋体" w:hAnsi="宋体"/>
          <w:sz w:val="32"/>
          <w:szCs w:val="32"/>
          <w:color w:val="auto"/>
        </w:rPr>
        <w:t>通过一定幅度的</w:t>
      </w:r>
      <w:r>
        <w:rPr>
          <w:rFonts w:ascii="Times New Roman" w:cs="Times New Roman" w:eastAsia="Times New Roman" w:hAnsi="Times New Roman"/>
          <w:sz w:val="32"/>
          <w:szCs w:val="32"/>
          <w:color w:val="auto"/>
        </w:rPr>
        <w:t>“</w:t>
      </w:r>
      <w:r>
        <w:rPr>
          <w:rFonts w:ascii="宋体" w:cs="宋体" w:eastAsia="宋体" w:hAnsi="宋体"/>
          <w:sz w:val="32"/>
          <w:szCs w:val="32"/>
          <w:color w:val="auto"/>
        </w:rPr>
        <w:t>折扣</w:t>
      </w:r>
      <w:r>
        <w:rPr>
          <w:rFonts w:ascii="Times New Roman" w:cs="Times New Roman" w:eastAsia="Times New Roman" w:hAnsi="Times New Roman"/>
          <w:sz w:val="32"/>
          <w:szCs w:val="32"/>
          <w:color w:val="auto"/>
        </w:rPr>
        <w:t>”</w:t>
      </w:r>
      <w:r>
        <w:rPr>
          <w:rFonts w:ascii="宋体" w:cs="宋体" w:eastAsia="宋体" w:hAnsi="宋体"/>
          <w:sz w:val="32"/>
          <w:szCs w:val="32"/>
          <w:color w:val="auto"/>
        </w:rPr>
        <w:t>（如减半）转换为更加保守的</w:t>
      </w:r>
      <w:r>
        <w:rPr>
          <w:rFonts w:ascii="Times New Roman" w:cs="Times New Roman" w:eastAsia="Times New Roman" w:hAnsi="Times New Roman"/>
          <w:sz w:val="32"/>
          <w:szCs w:val="32"/>
          <w:i w:val="1"/>
          <w:iCs w:val="1"/>
          <w:color w:val="auto"/>
        </w:rPr>
        <w:t xml:space="preserve"> M</w:t>
      </w:r>
      <w:r>
        <w:rPr>
          <w:rFonts w:ascii="Times New Roman" w:cs="Times New Roman" w:eastAsia="Times New Roman" w:hAnsi="Times New Roman"/>
          <w:sz w:val="21"/>
          <w:szCs w:val="21"/>
          <w:color w:val="auto"/>
        </w:rPr>
        <w:t>1</w:t>
      </w:r>
      <w:r>
        <w:rPr>
          <w:rFonts w:ascii="宋体" w:cs="宋体" w:eastAsia="宋体" w:hAnsi="宋体"/>
          <w:sz w:val="32"/>
          <w:szCs w:val="32"/>
          <w:color w:val="auto"/>
        </w:rPr>
        <w:t>。</w:t>
      </w:r>
    </w:p>
    <w:p>
      <w:pPr>
        <w:spacing w:after="0" w:line="268" w:lineRule="exact"/>
        <w:rPr>
          <w:rFonts w:ascii="宋体" w:cs="宋体" w:eastAsia="宋体" w:hAnsi="宋体"/>
          <w:sz w:val="32"/>
          <w:szCs w:val="32"/>
          <w:color w:val="auto"/>
        </w:rPr>
      </w:pPr>
    </w:p>
    <w:p>
      <w:pPr>
        <w:jc w:val="both"/>
        <w:ind w:left="360" w:right="344" w:firstLine="638"/>
        <w:spacing w:after="0" w:line="533" w:lineRule="exact"/>
        <w:rPr>
          <w:rFonts w:ascii="宋体" w:cs="宋体" w:eastAsia="宋体" w:hAnsi="宋体"/>
          <w:sz w:val="32"/>
          <w:szCs w:val="32"/>
          <w:color w:val="auto"/>
        </w:rPr>
      </w:pPr>
      <w:r>
        <w:rPr>
          <w:rFonts w:ascii="宋体" w:cs="宋体" w:eastAsia="宋体" w:hAnsi="宋体"/>
          <w:sz w:val="31"/>
          <w:szCs w:val="31"/>
          <w:color w:val="auto"/>
        </w:rPr>
        <w:t>非劣效界值</w:t>
      </w:r>
      <w:r>
        <w:rPr>
          <w:rFonts w:ascii="Times New Roman" w:cs="Times New Roman" w:eastAsia="Times New Roman" w:hAnsi="Times New Roman"/>
          <w:sz w:val="31"/>
          <w:szCs w:val="31"/>
          <w:i w:val="1"/>
          <w:iCs w:val="1"/>
          <w:color w:val="auto"/>
        </w:rPr>
        <w:t xml:space="preserve"> M</w:t>
      </w:r>
      <w:r>
        <w:rPr>
          <w:rFonts w:ascii="Times New Roman" w:cs="Times New Roman" w:eastAsia="Times New Roman" w:hAnsi="Times New Roman"/>
          <w:sz w:val="20"/>
          <w:szCs w:val="20"/>
          <w:color w:val="auto"/>
        </w:rPr>
        <w:t>2</w:t>
      </w:r>
      <w:r>
        <w:rPr>
          <w:rFonts w:ascii="宋体" w:cs="宋体" w:eastAsia="宋体" w:hAnsi="宋体"/>
          <w:sz w:val="31"/>
          <w:szCs w:val="31"/>
          <w:color w:val="auto"/>
        </w:rPr>
        <w:t>（对应于前文表</w:t>
      </w:r>
      <w:r>
        <w:rPr>
          <w:rFonts w:ascii="Times New Roman" w:cs="Times New Roman" w:eastAsia="Times New Roman" w:hAnsi="Times New Roman"/>
          <w:sz w:val="31"/>
          <w:szCs w:val="31"/>
          <w:i w:val="1"/>
          <w:iCs w:val="1"/>
          <w:color w:val="auto"/>
        </w:rPr>
        <w:t xml:space="preserve"> </w:t>
      </w:r>
      <w:r>
        <w:rPr>
          <w:rFonts w:ascii="Times New Roman" w:cs="Times New Roman" w:eastAsia="Times New Roman" w:hAnsi="Times New Roman"/>
          <w:sz w:val="31"/>
          <w:szCs w:val="31"/>
          <w:color w:val="auto"/>
        </w:rPr>
        <w:t>1</w:t>
      </w:r>
      <w:r>
        <w:rPr>
          <w:rFonts w:ascii="Times New Roman" w:cs="Times New Roman" w:eastAsia="Times New Roman" w:hAnsi="Times New Roman"/>
          <w:sz w:val="31"/>
          <w:szCs w:val="31"/>
          <w:i w:val="1"/>
          <w:iCs w:val="1"/>
          <w:color w:val="auto"/>
        </w:rPr>
        <w:t xml:space="preserve"> </w:t>
      </w:r>
      <w:r>
        <w:rPr>
          <w:rFonts w:ascii="宋体" w:cs="宋体" w:eastAsia="宋体" w:hAnsi="宋体"/>
          <w:sz w:val="31"/>
          <w:szCs w:val="31"/>
          <w:color w:val="auto"/>
        </w:rPr>
        <w:t>中的</w:t>
      </w:r>
      <w:r>
        <w:rPr>
          <w:rFonts w:ascii="Times New Roman" w:cs="Times New Roman" w:eastAsia="Times New Roman" w:hAnsi="Times New Roman"/>
          <w:sz w:val="31"/>
          <w:szCs w:val="31"/>
          <w:i w:val="1"/>
          <w:iCs w:val="1"/>
          <w:color w:val="auto"/>
        </w:rPr>
        <w:t xml:space="preserve"> M</w:t>
      </w:r>
      <w:r>
        <w:rPr>
          <w:rFonts w:ascii="宋体" w:cs="宋体" w:eastAsia="宋体" w:hAnsi="宋体"/>
          <w:sz w:val="31"/>
          <w:szCs w:val="31"/>
          <w:color w:val="auto"/>
        </w:rPr>
        <w:t>）是试验药与阳性对照药相比在临床上可接受的最大损失，可通过</w:t>
      </w:r>
      <w:r>
        <w:rPr>
          <w:rFonts w:ascii="Times New Roman" w:cs="Times New Roman" w:eastAsia="Times New Roman" w:hAnsi="Times New Roman"/>
          <w:sz w:val="31"/>
          <w:szCs w:val="31"/>
          <w:i w:val="1"/>
          <w:iCs w:val="1"/>
          <w:color w:val="auto"/>
        </w:rPr>
        <w:t xml:space="preserve"> M</w:t>
      </w:r>
      <w:r>
        <w:rPr>
          <w:rFonts w:ascii="Times New Roman" w:cs="Times New Roman" w:eastAsia="Times New Roman" w:hAnsi="Times New Roman"/>
          <w:sz w:val="20"/>
          <w:szCs w:val="20"/>
          <w:color w:val="auto"/>
        </w:rPr>
        <w:t>1</w:t>
      </w:r>
      <w:r>
        <w:rPr>
          <w:rFonts w:ascii="Times New Roman" w:cs="Times New Roman" w:eastAsia="Times New Roman" w:hAnsi="Times New Roman"/>
          <w:sz w:val="31"/>
          <w:szCs w:val="31"/>
          <w:i w:val="1"/>
          <w:iCs w:val="1"/>
          <w:color w:val="auto"/>
        </w:rPr>
        <w:t xml:space="preserve"> </w:t>
      </w:r>
      <w:r>
        <w:rPr>
          <w:rFonts w:ascii="宋体" w:cs="宋体" w:eastAsia="宋体" w:hAnsi="宋体"/>
          <w:sz w:val="31"/>
          <w:szCs w:val="31"/>
          <w:color w:val="auto"/>
        </w:rPr>
        <w:t>的某一比例来定义。设</w:t>
      </w:r>
      <w:r>
        <w:rPr>
          <w:rFonts w:ascii="Times New Roman" w:cs="Times New Roman" w:eastAsia="Times New Roman" w:hAnsi="Times New Roman"/>
          <w:sz w:val="31"/>
          <w:szCs w:val="31"/>
          <w:i w:val="1"/>
          <w:iCs w:val="1"/>
          <w:color w:val="auto"/>
        </w:rPr>
        <w:t xml:space="preserve"> f</w:t>
      </w:r>
      <w:r>
        <w:rPr>
          <w:rFonts w:ascii="宋体" w:cs="宋体" w:eastAsia="宋体" w:hAnsi="宋体"/>
          <w:sz w:val="31"/>
          <w:szCs w:val="31"/>
          <w:color w:val="auto"/>
        </w:rPr>
        <w:t>（</w:t>
      </w:r>
      <w:r>
        <w:rPr>
          <w:rFonts w:ascii="Times New Roman" w:cs="Times New Roman" w:eastAsia="Times New Roman" w:hAnsi="Times New Roman"/>
          <w:sz w:val="31"/>
          <w:szCs w:val="31"/>
          <w:color w:val="auto"/>
        </w:rPr>
        <w:t>0&lt;</w:t>
      </w:r>
      <w:r>
        <w:rPr>
          <w:rFonts w:ascii="Times New Roman" w:cs="Times New Roman" w:eastAsia="Times New Roman" w:hAnsi="Times New Roman"/>
          <w:sz w:val="31"/>
          <w:szCs w:val="31"/>
          <w:i w:val="1"/>
          <w:iCs w:val="1"/>
          <w:color w:val="auto"/>
        </w:rPr>
        <w:t>f</w:t>
      </w:r>
      <w:r>
        <w:rPr>
          <w:rFonts w:ascii="Times New Roman" w:cs="Times New Roman" w:eastAsia="Times New Roman" w:hAnsi="Times New Roman"/>
          <w:sz w:val="31"/>
          <w:szCs w:val="31"/>
          <w:color w:val="auto"/>
        </w:rPr>
        <w:t>&lt;1</w:t>
      </w:r>
      <w:r>
        <w:rPr>
          <w:rFonts w:ascii="宋体" w:cs="宋体" w:eastAsia="宋体" w:hAnsi="宋体"/>
          <w:sz w:val="31"/>
          <w:szCs w:val="31"/>
          <w:color w:val="auto"/>
        </w:rPr>
        <w:t>）为至少保留</w:t>
      </w:r>
      <w:r>
        <w:rPr>
          <w:rFonts w:ascii="Times New Roman" w:cs="Times New Roman" w:eastAsia="Times New Roman" w:hAnsi="Times New Roman"/>
          <w:sz w:val="31"/>
          <w:szCs w:val="31"/>
          <w:i w:val="1"/>
          <w:iCs w:val="1"/>
          <w:color w:val="auto"/>
        </w:rPr>
        <w:t xml:space="preserve"> M</w:t>
      </w:r>
      <w:r>
        <w:rPr>
          <w:rFonts w:ascii="Times New Roman" w:cs="Times New Roman" w:eastAsia="Times New Roman" w:hAnsi="Times New Roman"/>
          <w:sz w:val="20"/>
          <w:szCs w:val="20"/>
          <w:color w:val="auto"/>
        </w:rPr>
        <w:t>1</w:t>
      </w:r>
      <w:r>
        <w:rPr>
          <w:rFonts w:ascii="Times New Roman" w:cs="Times New Roman" w:eastAsia="Times New Roman" w:hAnsi="Times New Roman"/>
          <w:sz w:val="31"/>
          <w:szCs w:val="31"/>
          <w:i w:val="1"/>
          <w:iCs w:val="1"/>
          <w:color w:val="auto"/>
        </w:rPr>
        <w:t xml:space="preserve"> </w:t>
      </w:r>
      <w:r>
        <w:rPr>
          <w:rFonts w:ascii="宋体" w:cs="宋体" w:eastAsia="宋体" w:hAnsi="宋体"/>
          <w:sz w:val="31"/>
          <w:szCs w:val="31"/>
          <w:color w:val="auto"/>
        </w:rPr>
        <w:t>的比例，则最大</w:t>
      </w:r>
    </w:p>
    <w:p>
      <w:pPr>
        <w:spacing w:after="0" w:line="251" w:lineRule="exact"/>
        <w:rPr>
          <w:sz w:val="20"/>
          <w:szCs w:val="20"/>
          <w:color w:val="auto"/>
        </w:rPr>
      </w:pPr>
    </w:p>
    <w:p>
      <w:pPr>
        <w:ind w:left="360"/>
        <w:spacing w:after="0" w:line="378" w:lineRule="exact"/>
        <w:rPr>
          <w:sz w:val="20"/>
          <w:szCs w:val="20"/>
          <w:color w:val="auto"/>
        </w:rPr>
      </w:pPr>
      <w:r>
        <w:rPr>
          <w:rFonts w:ascii="宋体" w:cs="宋体" w:eastAsia="宋体" w:hAnsi="宋体"/>
          <w:sz w:val="31"/>
          <w:szCs w:val="31"/>
          <w:color w:val="auto"/>
        </w:rPr>
        <w:t>可损失比例为</w:t>
      </w:r>
      <w:r>
        <w:rPr>
          <w:rFonts w:ascii="Times New Roman" w:cs="Times New Roman" w:eastAsia="Times New Roman" w:hAnsi="Times New Roman"/>
          <w:sz w:val="31"/>
          <w:szCs w:val="31"/>
          <w:color w:val="auto"/>
        </w:rPr>
        <w:t xml:space="preserve"> 1</w:t>
      </w:r>
      <w:r>
        <w:rPr>
          <w:rFonts w:ascii="宋体" w:cs="宋体" w:eastAsia="宋体" w:hAnsi="宋体"/>
          <w:sz w:val="31"/>
          <w:szCs w:val="31"/>
          <w:color w:val="auto"/>
        </w:rPr>
        <w:t>－</w:t>
      </w:r>
      <w:r>
        <w:rPr>
          <w:rFonts w:ascii="Times New Roman" w:cs="Times New Roman" w:eastAsia="Times New Roman" w:hAnsi="Times New Roman"/>
          <w:sz w:val="31"/>
          <w:szCs w:val="31"/>
          <w:i w:val="1"/>
          <w:iCs w:val="1"/>
          <w:color w:val="auto"/>
        </w:rPr>
        <w:t>f</w:t>
      </w:r>
      <w:r>
        <w:rPr>
          <w:rFonts w:ascii="宋体" w:cs="宋体" w:eastAsia="宋体" w:hAnsi="宋体"/>
          <w:sz w:val="31"/>
          <w:szCs w:val="31"/>
          <w:color w:val="auto"/>
        </w:rPr>
        <w:t>。</w:t>
      </w:r>
      <w:r>
        <w:rPr>
          <w:rFonts w:ascii="Times New Roman" w:cs="Times New Roman" w:eastAsia="Times New Roman" w:hAnsi="Times New Roman"/>
          <w:sz w:val="31"/>
          <w:szCs w:val="31"/>
          <w:i w:val="1"/>
          <w:iCs w:val="1"/>
          <w:color w:val="auto"/>
        </w:rPr>
        <w:t>M</w:t>
      </w:r>
      <w:r>
        <w:rPr>
          <w:rFonts w:ascii="Times New Roman" w:cs="Times New Roman" w:eastAsia="Times New Roman" w:hAnsi="Times New Roman"/>
          <w:sz w:val="20"/>
          <w:szCs w:val="20"/>
          <w:color w:val="auto"/>
        </w:rPr>
        <w:t>2</w:t>
      </w:r>
      <w:r>
        <w:rPr>
          <w:rFonts w:ascii="Times New Roman" w:cs="Times New Roman" w:eastAsia="Times New Roman" w:hAnsi="Times New Roman"/>
          <w:sz w:val="31"/>
          <w:szCs w:val="31"/>
          <w:color w:val="auto"/>
        </w:rPr>
        <w:t xml:space="preserve"> </w:t>
      </w:r>
      <w:r>
        <w:rPr>
          <w:rFonts w:ascii="宋体" w:cs="宋体" w:eastAsia="宋体" w:hAnsi="宋体"/>
          <w:sz w:val="31"/>
          <w:szCs w:val="31"/>
          <w:color w:val="auto"/>
        </w:rPr>
        <w:t>的确定公式详见附录</w:t>
      </w:r>
      <w:r>
        <w:rPr>
          <w:rFonts w:ascii="Times New Roman" w:cs="Times New Roman" w:eastAsia="Times New Roman" w:hAnsi="Times New Roman"/>
          <w:sz w:val="31"/>
          <w:szCs w:val="31"/>
          <w:color w:val="auto"/>
        </w:rPr>
        <w:t xml:space="preserve"> 2</w:t>
      </w:r>
      <w:r>
        <w:rPr>
          <w:rFonts w:ascii="宋体" w:cs="宋体" w:eastAsia="宋体" w:hAnsi="宋体"/>
          <w:sz w:val="31"/>
          <w:szCs w:val="31"/>
          <w:color w:val="auto"/>
        </w:rPr>
        <w:t>，</w:t>
      </w:r>
      <w:r>
        <w:rPr>
          <w:rFonts w:ascii="Times New Roman" w:cs="Times New Roman" w:eastAsia="Times New Roman" w:hAnsi="Times New Roman"/>
          <w:sz w:val="31"/>
          <w:szCs w:val="31"/>
          <w:i w:val="1"/>
          <w:iCs w:val="1"/>
          <w:color w:val="auto"/>
        </w:rPr>
        <w:t>M</w:t>
      </w:r>
      <w:r>
        <w:rPr>
          <w:rFonts w:ascii="Times New Roman" w:cs="Times New Roman" w:eastAsia="Times New Roman" w:hAnsi="Times New Roman"/>
          <w:sz w:val="20"/>
          <w:szCs w:val="20"/>
          <w:color w:val="auto"/>
        </w:rPr>
        <w:t>1</w:t>
      </w:r>
      <w:r>
        <w:rPr>
          <w:rFonts w:ascii="Times New Roman" w:cs="Times New Roman" w:eastAsia="Times New Roman" w:hAnsi="Times New Roman"/>
          <w:sz w:val="31"/>
          <w:szCs w:val="31"/>
          <w:color w:val="auto"/>
        </w:rPr>
        <w:t xml:space="preserve"> </w:t>
      </w:r>
      <w:r>
        <w:rPr>
          <w:rFonts w:ascii="宋体" w:cs="宋体" w:eastAsia="宋体" w:hAnsi="宋体"/>
          <w:sz w:val="31"/>
          <w:szCs w:val="31"/>
          <w:color w:val="auto"/>
        </w:rPr>
        <w:t>和</w:t>
      </w:r>
      <w:r>
        <w:rPr>
          <w:rFonts w:ascii="Times New Roman" w:cs="Times New Roman" w:eastAsia="Times New Roman" w:hAnsi="Times New Roman"/>
          <w:sz w:val="31"/>
          <w:szCs w:val="31"/>
          <w:color w:val="auto"/>
        </w:rPr>
        <w:t xml:space="preserve"> </w:t>
      </w:r>
      <w:r>
        <w:rPr>
          <w:rFonts w:ascii="Times New Roman" w:cs="Times New Roman" w:eastAsia="Times New Roman" w:hAnsi="Times New Roman"/>
          <w:sz w:val="31"/>
          <w:szCs w:val="31"/>
          <w:i w:val="1"/>
          <w:iCs w:val="1"/>
          <w:color w:val="auto"/>
        </w:rPr>
        <w:t>M</w:t>
      </w:r>
      <w:r>
        <w:rPr>
          <w:rFonts w:ascii="Times New Roman" w:cs="Times New Roman" w:eastAsia="Times New Roman" w:hAnsi="Times New Roman"/>
          <w:sz w:val="20"/>
          <w:szCs w:val="20"/>
          <w:color w:val="auto"/>
        </w:rPr>
        <w:t>2</w:t>
      </w:r>
      <w:r>
        <w:rPr>
          <w:rFonts w:ascii="Times New Roman" w:cs="Times New Roman" w:eastAsia="Times New Roman" w:hAnsi="Times New Roman"/>
          <w:sz w:val="31"/>
          <w:szCs w:val="31"/>
          <w:color w:val="auto"/>
        </w:rPr>
        <w:t xml:space="preserve"> </w:t>
      </w:r>
      <w:r>
        <w:rPr>
          <w:rFonts w:ascii="宋体" w:cs="宋体" w:eastAsia="宋体" w:hAnsi="宋体"/>
          <w:sz w:val="31"/>
          <w:szCs w:val="31"/>
          <w:color w:val="auto"/>
        </w:rPr>
        <w:t>的</w:t>
      </w:r>
    </w:p>
    <w:p>
      <w:pPr>
        <w:spacing w:after="0" w:line="226"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相对关系参见图</w:t>
      </w:r>
      <w:r>
        <w:rPr>
          <w:rFonts w:ascii="Times New Roman" w:cs="Times New Roman" w:eastAsia="Times New Roman" w:hAnsi="Times New Roman"/>
          <w:sz w:val="32"/>
          <w:szCs w:val="32"/>
          <w:color w:val="auto"/>
        </w:rPr>
        <w:t xml:space="preserve"> 1 </w:t>
      </w:r>
      <w:r>
        <w:rPr>
          <w:rFonts w:ascii="宋体" w:cs="宋体" w:eastAsia="宋体" w:hAnsi="宋体"/>
          <w:sz w:val="32"/>
          <w:szCs w:val="32"/>
          <w:color w:val="auto"/>
        </w:rPr>
        <w:t>和图</w:t>
      </w:r>
      <w:r>
        <w:rPr>
          <w:rFonts w:ascii="Times New Roman" w:cs="Times New Roman" w:eastAsia="Times New Roman" w:hAnsi="Times New Roman"/>
          <w:sz w:val="32"/>
          <w:szCs w:val="32"/>
          <w:color w:val="auto"/>
        </w:rPr>
        <w:t xml:space="preserve"> 2</w:t>
      </w:r>
      <w:r>
        <w:rPr>
          <w:rFonts w:ascii="宋体" w:cs="宋体" w:eastAsia="宋体" w:hAnsi="宋体"/>
          <w:sz w:val="32"/>
          <w:szCs w:val="32"/>
          <w:color w:val="auto"/>
        </w:rPr>
        <w:t>。确定</w:t>
      </w:r>
      <w:r>
        <w:rPr>
          <w:rFonts w:ascii="Times New Roman" w:cs="Times New Roman" w:eastAsia="Times New Roman" w:hAnsi="Times New Roman"/>
          <w:sz w:val="32"/>
          <w:szCs w:val="32"/>
          <w:color w:val="auto"/>
        </w:rPr>
        <w:t xml:space="preserve"> </w:t>
      </w:r>
      <w:r>
        <w:rPr>
          <w:rFonts w:ascii="Times New Roman" w:cs="Times New Roman" w:eastAsia="Times New Roman" w:hAnsi="Times New Roman"/>
          <w:sz w:val="32"/>
          <w:szCs w:val="32"/>
          <w:i w:val="1"/>
          <w:iCs w:val="1"/>
          <w:color w:val="auto"/>
        </w:rPr>
        <w:t>f</w:t>
      </w:r>
      <w:r>
        <w:rPr>
          <w:rFonts w:ascii="Times New Roman" w:cs="Times New Roman" w:eastAsia="Times New Roman" w:hAnsi="Times New Roman"/>
          <w:sz w:val="32"/>
          <w:szCs w:val="32"/>
          <w:color w:val="auto"/>
        </w:rPr>
        <w:t xml:space="preserve"> </w:t>
      </w:r>
      <w:r>
        <w:rPr>
          <w:rFonts w:ascii="宋体" w:cs="宋体" w:eastAsia="宋体" w:hAnsi="宋体"/>
          <w:sz w:val="32"/>
          <w:szCs w:val="32"/>
          <w:color w:val="auto"/>
        </w:rPr>
        <w:t>则依赖于临床判断。当阳</w:t>
      </w:r>
    </w:p>
    <w:p>
      <w:pPr>
        <w:spacing w:after="0" w:line="246"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性对照药与安慰剂的疗效差异很大时，或当终点指标为不可</w:t>
      </w:r>
    </w:p>
    <w:p>
      <w:pPr>
        <w:spacing w:after="0" w:line="259"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逆的发病率或死亡率时，对</w:t>
      </w:r>
      <w:r>
        <w:rPr>
          <w:rFonts w:ascii="Times New Roman" w:cs="Times New Roman" w:eastAsia="Times New Roman" w:hAnsi="Times New Roman"/>
          <w:sz w:val="32"/>
          <w:szCs w:val="32"/>
          <w:i w:val="1"/>
          <w:iCs w:val="1"/>
          <w:color w:val="auto"/>
        </w:rPr>
        <w:t xml:space="preserve"> f </w:t>
      </w:r>
      <w:r>
        <w:rPr>
          <w:rFonts w:ascii="宋体" w:cs="宋体" w:eastAsia="宋体" w:hAnsi="宋体"/>
          <w:sz w:val="32"/>
          <w:szCs w:val="32"/>
          <w:color w:val="auto"/>
        </w:rPr>
        <w:t>的选择应该慎重考虑。</w:t>
      </w: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4"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6</w:t>
      </w:r>
    </w:p>
    <w:p>
      <w:pPr>
        <w:sectPr>
          <w:pgSz w:w="11900" w:h="16838" w:orient="portrait"/>
          <w:cols w:equalWidth="0" w:num="1">
            <w:col w:w="9024"/>
          </w:cols>
          <w:pgMar w:left="1440" w:top="1440" w:right="1440" w:bottom="433" w:gutter="0" w:footer="0" w:header="0"/>
          <w:type w:val="continuous"/>
        </w:sectPr>
      </w:pPr>
    </w:p>
    <w:bookmarkStart w:id="8" w:name="page9"/>
    <w:bookmarkEnd w:id="8"/>
    <w:p>
      <w:pPr>
        <w:spacing w:after="0" w:line="20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1143000</wp:posOffset>
                </wp:positionH>
                <wp:positionV relativeFrom="page">
                  <wp:posOffset>1268095</wp:posOffset>
                </wp:positionV>
                <wp:extent cx="5275580" cy="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2755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90pt,99.85pt" to="505.4pt,99.85pt" o:allowincell="f" strokecolor="#000000" strokeweight="0.4799pt">
                <w10:wrap anchorx="page" anchory="page"/>
              </v:line>
            </w:pict>
          </mc:Fallback>
        </mc:AlternateContent>
        <mc:AlternateContent>
          <mc:Choice Requires="wps">
            <w:drawing>
              <wp:anchor simplePos="0" relativeHeight="251657728" behindDoc="1" locked="0" layoutInCell="0" allowOverlap="1">
                <wp:simplePos x="0" y="0"/>
                <wp:positionH relativeFrom="page">
                  <wp:posOffset>1146175</wp:posOffset>
                </wp:positionH>
                <wp:positionV relativeFrom="page">
                  <wp:posOffset>1264920</wp:posOffset>
                </wp:positionV>
                <wp:extent cx="0" cy="279273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927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90.25pt,99.6pt" to="90.25pt,319.5pt" o:allowincell="f" strokecolor="#000000" strokeweight="0.48pt">
                <w10:wrap anchorx="page" anchory="page"/>
              </v:line>
            </w:pict>
          </mc:Fallback>
        </mc:AlternateContent>
        <mc:AlternateContent>
          <mc:Choice Requires="wps">
            <w:drawing>
              <wp:anchor simplePos="0" relativeHeight="251657728" behindDoc="1" locked="0" layoutInCell="0" allowOverlap="1">
                <wp:simplePos x="0" y="0"/>
                <wp:positionH relativeFrom="page">
                  <wp:posOffset>1143000</wp:posOffset>
                </wp:positionH>
                <wp:positionV relativeFrom="page">
                  <wp:posOffset>2661285</wp:posOffset>
                </wp:positionV>
                <wp:extent cx="5275580" cy="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2755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90pt,209.55pt" to="505.4pt,209.55pt" o:allowincell="f" strokecolor="#000000" strokeweight="0.4799pt">
                <w10:wrap anchorx="page" anchory="page"/>
              </v:line>
            </w:pict>
          </mc:Fallback>
        </mc:AlternateContent>
        <mc:AlternateContent>
          <mc:Choice Requires="wps">
            <w:drawing>
              <wp:anchor simplePos="0" relativeHeight="251657728" behindDoc="1" locked="0" layoutInCell="0" allowOverlap="1">
                <wp:simplePos x="0" y="0"/>
                <wp:positionH relativeFrom="page">
                  <wp:posOffset>1750060</wp:posOffset>
                </wp:positionH>
                <wp:positionV relativeFrom="page">
                  <wp:posOffset>1264920</wp:posOffset>
                </wp:positionV>
                <wp:extent cx="0" cy="279273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927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7.8pt,99.6pt" to="137.8pt,319.5pt" o:allowincell="f" strokecolor="#000000" strokeweight="0.4799pt">
                <w10:wrap anchorx="page" anchory="page"/>
              </v:line>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8" w:lineRule="exact"/>
        <w:rPr>
          <w:sz w:val="20"/>
          <w:szCs w:val="20"/>
          <w:color w:val="auto"/>
        </w:rPr>
      </w:pPr>
    </w:p>
    <w:p>
      <w:pPr>
        <w:ind w:left="480"/>
        <w:spacing w:after="0" w:line="308" w:lineRule="exact"/>
        <w:rPr>
          <w:sz w:val="20"/>
          <w:szCs w:val="20"/>
          <w:color w:val="auto"/>
        </w:rPr>
      </w:pPr>
      <w:r>
        <w:rPr>
          <w:rFonts w:ascii="宋体" w:cs="宋体" w:eastAsia="宋体" w:hAnsi="宋体"/>
          <w:sz w:val="27"/>
          <w:szCs w:val="27"/>
          <w:color w:val="auto"/>
        </w:rPr>
        <w:t>高优</w:t>
      </w:r>
    </w:p>
    <w:p>
      <w:pPr>
        <w:spacing w:after="0" w:line="239" w:lineRule="exact"/>
        <w:rPr>
          <w:sz w:val="20"/>
          <w:szCs w:val="20"/>
          <w:color w:val="auto"/>
        </w:rPr>
      </w:pPr>
    </w:p>
    <w:p>
      <w:pPr>
        <w:ind w:left="480"/>
        <w:spacing w:after="0" w:line="308" w:lineRule="exact"/>
        <w:rPr>
          <w:sz w:val="20"/>
          <w:szCs w:val="20"/>
          <w:color w:val="auto"/>
        </w:rPr>
      </w:pPr>
      <w:r>
        <w:rPr>
          <w:rFonts w:ascii="宋体" w:cs="宋体" w:eastAsia="宋体" w:hAnsi="宋体"/>
          <w:sz w:val="27"/>
          <w:szCs w:val="27"/>
          <w:color w:val="auto"/>
        </w:rPr>
        <w:t>指标</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9" w:lineRule="exact"/>
        <w:rPr>
          <w:sz w:val="20"/>
          <w:szCs w:val="20"/>
          <w:color w:val="auto"/>
        </w:rPr>
      </w:pPr>
    </w:p>
    <w:p>
      <w:pPr>
        <w:ind w:left="480"/>
        <w:spacing w:after="0" w:line="308" w:lineRule="exact"/>
        <w:rPr>
          <w:sz w:val="20"/>
          <w:szCs w:val="20"/>
          <w:color w:val="auto"/>
        </w:rPr>
      </w:pPr>
      <w:r>
        <w:rPr>
          <w:rFonts w:ascii="宋体" w:cs="宋体" w:eastAsia="宋体" w:hAnsi="宋体"/>
          <w:sz w:val="27"/>
          <w:szCs w:val="27"/>
          <w:color w:val="auto"/>
        </w:rPr>
        <w:t>低优</w:t>
      </w:r>
    </w:p>
    <w:p>
      <w:pPr>
        <w:spacing w:after="0" w:line="239" w:lineRule="exact"/>
        <w:rPr>
          <w:sz w:val="20"/>
          <w:szCs w:val="20"/>
          <w:color w:val="auto"/>
        </w:rPr>
      </w:pPr>
    </w:p>
    <w:p>
      <w:pPr>
        <w:ind w:left="480"/>
        <w:spacing w:after="0" w:line="308" w:lineRule="exact"/>
        <w:rPr>
          <w:sz w:val="20"/>
          <w:szCs w:val="20"/>
          <w:color w:val="auto"/>
        </w:rPr>
      </w:pPr>
      <w:r>
        <w:rPr>
          <w:rFonts w:ascii="宋体" w:cs="宋体" w:eastAsia="宋体" w:hAnsi="宋体"/>
          <w:sz w:val="27"/>
          <w:szCs w:val="27"/>
          <w:color w:val="auto"/>
        </w:rPr>
        <w:t>指标</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98" w:lineRule="exact"/>
        <w:rPr>
          <w:sz w:val="20"/>
          <w:szCs w:val="20"/>
          <w:color w:val="auto"/>
        </w:rPr>
      </w:pPr>
    </w:p>
    <w:p>
      <w:pPr>
        <w:ind w:left="2540"/>
        <w:spacing w:after="0" w:line="172" w:lineRule="exact"/>
        <w:rPr>
          <w:sz w:val="20"/>
          <w:szCs w:val="20"/>
          <w:color w:val="auto"/>
        </w:rPr>
      </w:pPr>
      <w:r>
        <w:rPr>
          <w:rFonts w:ascii="宋体" w:cs="宋体" w:eastAsia="宋体" w:hAnsi="宋体"/>
          <w:sz w:val="15"/>
          <w:szCs w:val="15"/>
          <w:color w:val="auto"/>
        </w:rPr>
        <w:t>试验药与阳性对照药</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3811905</wp:posOffset>
                </wp:positionH>
                <wp:positionV relativeFrom="paragraph">
                  <wp:posOffset>-213360</wp:posOffset>
                </wp:positionV>
                <wp:extent cx="0" cy="2792095"/>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79209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0.15pt,-16.7999pt" to="300.15pt,203.05pt" o:allowincell="f" strokecolor="#000000" strokeweight="0.48pt"/>
            </w:pict>
          </mc:Fallback>
        </mc:AlternateContent>
        <w:drawing>
          <wp:anchor simplePos="0" relativeHeight="251657728" behindDoc="1" locked="0" layoutInCell="0" allowOverlap="1">
            <wp:simplePos x="0" y="0"/>
            <wp:positionH relativeFrom="column">
              <wp:posOffset>1514475</wp:posOffset>
            </wp:positionH>
            <wp:positionV relativeFrom="paragraph">
              <wp:posOffset>-106680</wp:posOffset>
            </wp:positionV>
            <wp:extent cx="1210310" cy="41148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clrChange>
                        <a:clrFrom>
                          <a:srgbClr val="000000"/>
                        </a:clrFrom>
                        <a:clrTo>
                          <a:srgbClr val="000000">
                            <a:alpha val="0"/>
                          </a:srgbClr>
                        </a:clrTo>
                      </a:clrChange>
                      <a:extLst>
                        <a:ext uri="{28A0092B-C50C-407E-A947-70E740481C1C}"/>
                      </a:extLst>
                    </a:blip>
                    <a:srcRect/>
                    <a:stretch>
                      <a:fillRect/>
                    </a:stretch>
                  </pic:blipFill>
                  <pic:spPr bwMode="auto">
                    <a:xfrm>
                      <a:off x="0" y="0"/>
                      <a:ext cx="1210310" cy="411480"/>
                    </a:xfrm>
                    <a:prstGeom prst="rect">
                      <a:avLst/>
                    </a:prstGeom>
                    <a:noFill/>
                  </pic:spPr>
                </pic:pic>
              </a:graphicData>
            </a:graphic>
          </wp:anchor>
        </w:drawing>
        <w:drawing>
          <wp:anchor simplePos="0" relativeHeight="251657728" behindDoc="1" locked="0" layoutInCell="0" allowOverlap="1">
            <wp:simplePos x="0" y="0"/>
            <wp:positionH relativeFrom="column">
              <wp:posOffset>1514475</wp:posOffset>
            </wp:positionH>
            <wp:positionV relativeFrom="paragraph">
              <wp:posOffset>-106680</wp:posOffset>
            </wp:positionV>
            <wp:extent cx="1210310" cy="41148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clrChange>
                        <a:clrFrom>
                          <a:srgbClr val="FFFFFF"/>
                        </a:clrFrom>
                        <a:clrTo>
                          <a:srgbClr val="FFFFFF">
                            <a:alpha val="0"/>
                          </a:srgbClr>
                        </a:clrTo>
                      </a:clrChange>
                      <a:extLst>
                        <a:ext uri="{28A0092B-C50C-407E-A947-70E740481C1C}"/>
                      </a:extLst>
                    </a:blip>
                    <a:srcRect/>
                    <a:stretch>
                      <a:fillRect/>
                    </a:stretch>
                  </pic:blipFill>
                  <pic:spPr bwMode="auto">
                    <a:xfrm>
                      <a:off x="0" y="0"/>
                      <a:ext cx="1210310" cy="411480"/>
                    </a:xfrm>
                    <a:prstGeom prst="rect">
                      <a:avLst/>
                    </a:prstGeom>
                    <a:noFill/>
                  </pic:spPr>
                </pic:pic>
              </a:graphicData>
            </a:graphic>
          </wp:anchor>
        </w:drawing>
      </w:r>
    </w:p>
    <w:p>
      <w:pPr>
        <w:spacing w:after="0" w:line="35" w:lineRule="exact"/>
        <w:rPr>
          <w:sz w:val="20"/>
          <w:szCs w:val="20"/>
          <w:color w:val="auto"/>
        </w:rPr>
      </w:pPr>
    </w:p>
    <w:tbl>
      <w:tblPr>
        <w:tblLayout w:type="fixed"/>
        <w:tblInd w:w="0" w:type="dxa"/>
        <w:tblCellMar>
          <w:top w:w="0" w:type="dxa"/>
          <w:left w:w="0" w:type="dxa"/>
          <w:bottom w:w="0" w:type="dxa"/>
          <w:right w:w="0" w:type="dxa"/>
        </w:tblCellMar>
      </w:tblPr>
      <w:tr>
        <w:trPr>
          <w:trHeight w:val="171"/>
        </w:trPr>
        <w:tc>
          <w:tcPr>
            <w:tcW w:w="360" w:type="dxa"/>
            <w:vAlign w:val="bottom"/>
            <w:vMerge w:val="restart"/>
          </w:tcPr>
          <w:p>
            <w:pPr>
              <w:ind w:left="160"/>
              <w:spacing w:after="0"/>
              <w:rPr>
                <w:sz w:val="20"/>
                <w:szCs w:val="20"/>
                <w:color w:val="auto"/>
              </w:rPr>
            </w:pPr>
            <w:r>
              <w:rPr>
                <w:rFonts w:ascii="Times New Roman" w:cs="Times New Roman" w:eastAsia="Times New Roman" w:hAnsi="Times New Roman"/>
                <w:sz w:val="15"/>
                <w:szCs w:val="15"/>
                <w:i w:val="1"/>
                <w:iCs w:val="1"/>
                <w:color w:val="auto"/>
              </w:rPr>
              <w:t>M</w:t>
            </w:r>
            <w:r>
              <w:rPr>
                <w:rFonts w:ascii="Times New Roman" w:cs="Times New Roman" w:eastAsia="Times New Roman" w:hAnsi="Times New Roman"/>
                <w:sz w:val="10"/>
                <w:szCs w:val="10"/>
                <w:color w:val="auto"/>
              </w:rPr>
              <w:t>1</w:t>
            </w:r>
          </w:p>
        </w:tc>
        <w:tc>
          <w:tcPr>
            <w:tcW w:w="1920" w:type="dxa"/>
            <w:vAlign w:val="bottom"/>
            <w:tcBorders>
              <w:right w:val="single" w:sz="8" w:color="auto"/>
            </w:tcBorders>
            <w:gridSpan w:val="5"/>
            <w:vMerge w:val="restart"/>
          </w:tcPr>
          <w:p>
            <w:pPr>
              <w:ind w:left="40"/>
              <w:spacing w:after="0" w:line="172" w:lineRule="exact"/>
              <w:rPr>
                <w:sz w:val="20"/>
                <w:szCs w:val="20"/>
                <w:color w:val="auto"/>
              </w:rPr>
            </w:pPr>
            <w:r>
              <w:rPr>
                <w:rFonts w:ascii="宋体" w:cs="宋体" w:eastAsia="宋体" w:hAnsi="宋体"/>
                <w:sz w:val="15"/>
                <w:szCs w:val="15"/>
                <w:color w:val="auto"/>
              </w:rPr>
              <w:t>为既往阳性对照药</w:t>
            </w:r>
          </w:p>
        </w:tc>
        <w:tc>
          <w:tcPr>
            <w:tcW w:w="2320" w:type="dxa"/>
            <w:vAlign w:val="bottom"/>
            <w:gridSpan w:val="2"/>
          </w:tcPr>
          <w:p>
            <w:pPr>
              <w:ind w:left="260"/>
              <w:spacing w:after="0" w:line="172" w:lineRule="exact"/>
              <w:rPr>
                <w:sz w:val="20"/>
                <w:szCs w:val="20"/>
                <w:color w:val="auto"/>
              </w:rPr>
            </w:pPr>
            <w:r>
              <w:rPr>
                <w:rFonts w:ascii="宋体" w:cs="宋体" w:eastAsia="宋体" w:hAnsi="宋体"/>
                <w:sz w:val="15"/>
                <w:szCs w:val="15"/>
                <w:color w:val="auto"/>
              </w:rPr>
              <w:t>的非劣效试验中</w:t>
            </w:r>
          </w:p>
        </w:tc>
        <w:tc>
          <w:tcPr>
            <w:tcW w:w="0" w:type="dxa"/>
            <w:vAlign w:val="bottom"/>
          </w:tcPr>
          <w:p>
            <w:pPr>
              <w:spacing w:after="0"/>
              <w:rPr>
                <w:sz w:val="1"/>
                <w:szCs w:val="1"/>
                <w:color w:val="auto"/>
              </w:rPr>
            </w:pPr>
          </w:p>
        </w:tc>
      </w:tr>
      <w:tr>
        <w:trPr>
          <w:trHeight w:val="51"/>
        </w:trPr>
        <w:tc>
          <w:tcPr>
            <w:tcW w:w="360" w:type="dxa"/>
            <w:vAlign w:val="bottom"/>
            <w:vMerge w:val="continue"/>
          </w:tcPr>
          <w:p>
            <w:pPr>
              <w:spacing w:after="0"/>
              <w:rPr>
                <w:sz w:val="4"/>
                <w:szCs w:val="4"/>
                <w:color w:val="auto"/>
              </w:rPr>
            </w:pPr>
          </w:p>
        </w:tc>
        <w:tc>
          <w:tcPr>
            <w:tcW w:w="1920" w:type="dxa"/>
            <w:vAlign w:val="bottom"/>
            <w:tcBorders>
              <w:right w:val="single" w:sz="8" w:color="auto"/>
            </w:tcBorders>
            <w:gridSpan w:val="5"/>
            <w:vMerge w:val="continue"/>
          </w:tcPr>
          <w:p>
            <w:pPr>
              <w:spacing w:after="0"/>
              <w:rPr>
                <w:sz w:val="4"/>
                <w:szCs w:val="4"/>
                <w:color w:val="auto"/>
              </w:rPr>
            </w:pPr>
          </w:p>
        </w:tc>
        <w:tc>
          <w:tcPr>
            <w:tcW w:w="2320" w:type="dxa"/>
            <w:vAlign w:val="bottom"/>
            <w:gridSpan w:val="2"/>
            <w:vMerge w:val="restart"/>
          </w:tcPr>
          <w:p>
            <w:pPr>
              <w:ind w:left="260"/>
              <w:spacing w:after="0" w:line="176" w:lineRule="exact"/>
              <w:rPr>
                <w:sz w:val="20"/>
                <w:szCs w:val="20"/>
                <w:color w:val="auto"/>
              </w:rPr>
            </w:pPr>
            <w:r>
              <w:rPr>
                <w:rFonts w:ascii="Times New Roman" w:cs="Times New Roman" w:eastAsia="Times New Roman" w:hAnsi="Times New Roman"/>
                <w:sz w:val="15"/>
                <w:szCs w:val="15"/>
                <w:i w:val="1"/>
                <w:iCs w:val="1"/>
                <w:color w:val="auto"/>
              </w:rPr>
              <w:t>T</w:t>
            </w:r>
            <w:r>
              <w:rPr>
                <w:rFonts w:ascii="宋体" w:cs="宋体" w:eastAsia="宋体" w:hAnsi="宋体"/>
                <w:sz w:val="15"/>
                <w:szCs w:val="15"/>
                <w:color w:val="auto"/>
              </w:rPr>
              <w:t>－</w:t>
            </w:r>
            <w:r>
              <w:rPr>
                <w:rFonts w:ascii="Times New Roman" w:cs="Times New Roman" w:eastAsia="Times New Roman" w:hAnsi="Times New Roman"/>
                <w:sz w:val="15"/>
                <w:szCs w:val="15"/>
                <w:i w:val="1"/>
                <w:iCs w:val="1"/>
                <w:color w:val="auto"/>
              </w:rPr>
              <w:t xml:space="preserve">C </w:t>
            </w:r>
            <w:r>
              <w:rPr>
                <w:rFonts w:ascii="宋体" w:cs="宋体" w:eastAsia="宋体" w:hAnsi="宋体"/>
                <w:sz w:val="15"/>
                <w:szCs w:val="15"/>
                <w:color w:val="auto"/>
              </w:rPr>
              <w:t>的</w:t>
            </w:r>
            <w:r>
              <w:rPr>
                <w:rFonts w:ascii="Times New Roman" w:cs="Times New Roman" w:eastAsia="Times New Roman" w:hAnsi="Times New Roman"/>
                <w:sz w:val="15"/>
                <w:szCs w:val="15"/>
                <w:i w:val="1"/>
                <w:iCs w:val="1"/>
                <w:color w:val="auto"/>
              </w:rPr>
              <w:t xml:space="preserve"> </w:t>
            </w:r>
            <w:r>
              <w:rPr>
                <w:rFonts w:ascii="Times New Roman" w:cs="Times New Roman" w:eastAsia="Times New Roman" w:hAnsi="Times New Roman"/>
                <w:sz w:val="15"/>
                <w:szCs w:val="15"/>
                <w:color w:val="auto"/>
              </w:rPr>
              <w:t>95%</w:t>
            </w:r>
            <w:r>
              <w:rPr>
                <w:rFonts w:ascii="Times New Roman" w:cs="Times New Roman" w:eastAsia="Times New Roman" w:hAnsi="Times New Roman"/>
                <w:sz w:val="15"/>
                <w:szCs w:val="15"/>
                <w:i w:val="1"/>
                <w:iCs w:val="1"/>
                <w:color w:val="auto"/>
              </w:rPr>
              <w:t xml:space="preserve"> CI</w:t>
            </w:r>
          </w:p>
        </w:tc>
        <w:tc>
          <w:tcPr>
            <w:tcW w:w="0" w:type="dxa"/>
            <w:vAlign w:val="bottom"/>
          </w:tcPr>
          <w:p>
            <w:pPr>
              <w:spacing w:after="0"/>
              <w:rPr>
                <w:sz w:val="1"/>
                <w:szCs w:val="1"/>
                <w:color w:val="auto"/>
              </w:rPr>
            </w:pPr>
          </w:p>
        </w:tc>
      </w:tr>
      <w:tr>
        <w:trPr>
          <w:trHeight w:val="125"/>
        </w:trPr>
        <w:tc>
          <w:tcPr>
            <w:tcW w:w="2280" w:type="dxa"/>
            <w:vAlign w:val="bottom"/>
            <w:tcBorders>
              <w:right w:val="single" w:sz="8" w:color="auto"/>
            </w:tcBorders>
            <w:gridSpan w:val="6"/>
            <w:vMerge w:val="restart"/>
          </w:tcPr>
          <w:p>
            <w:pPr>
              <w:ind w:left="160"/>
              <w:spacing w:after="0" w:line="172" w:lineRule="exact"/>
              <w:rPr>
                <w:sz w:val="20"/>
                <w:szCs w:val="20"/>
                <w:color w:val="auto"/>
              </w:rPr>
            </w:pPr>
            <w:r>
              <w:rPr>
                <w:rFonts w:ascii="宋体" w:cs="宋体" w:eastAsia="宋体" w:hAnsi="宋体"/>
                <w:sz w:val="15"/>
                <w:szCs w:val="15"/>
                <w:color w:val="auto"/>
              </w:rPr>
              <w:t>与安慰剂的优效试验中</w:t>
            </w:r>
          </w:p>
        </w:tc>
        <w:tc>
          <w:tcPr>
            <w:tcW w:w="2320" w:type="dxa"/>
            <w:vAlign w:val="bottom"/>
            <w:gridSpan w:val="2"/>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60"/>
        </w:trPr>
        <w:tc>
          <w:tcPr>
            <w:tcW w:w="2280" w:type="dxa"/>
            <w:vAlign w:val="bottom"/>
            <w:tcBorders>
              <w:right w:val="single" w:sz="8" w:color="auto"/>
            </w:tcBorders>
            <w:gridSpan w:val="6"/>
            <w:vMerge w:val="continue"/>
          </w:tcPr>
          <w:p>
            <w:pPr>
              <w:spacing w:after="0"/>
              <w:rPr>
                <w:sz w:val="5"/>
                <w:szCs w:val="5"/>
                <w:color w:val="auto"/>
              </w:rPr>
            </w:pPr>
          </w:p>
        </w:tc>
        <w:tc>
          <w:tcPr>
            <w:tcW w:w="1080" w:type="dxa"/>
            <w:vAlign w:val="bottom"/>
          </w:tcPr>
          <w:p>
            <w:pPr>
              <w:spacing w:after="0"/>
              <w:rPr>
                <w:sz w:val="5"/>
                <w:szCs w:val="5"/>
                <w:color w:val="auto"/>
              </w:rPr>
            </w:pPr>
          </w:p>
        </w:tc>
        <w:tc>
          <w:tcPr>
            <w:tcW w:w="124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92"/>
        </w:trPr>
        <w:tc>
          <w:tcPr>
            <w:tcW w:w="1900" w:type="dxa"/>
            <w:vAlign w:val="bottom"/>
            <w:gridSpan w:val="4"/>
            <w:vMerge w:val="restart"/>
          </w:tcPr>
          <w:p>
            <w:pPr>
              <w:ind w:left="160"/>
              <w:spacing w:after="0" w:line="183" w:lineRule="exact"/>
              <w:rPr>
                <w:sz w:val="20"/>
                <w:szCs w:val="20"/>
                <w:color w:val="auto"/>
              </w:rPr>
            </w:pPr>
            <w:r>
              <w:rPr>
                <w:rFonts w:ascii="Times New Roman" w:cs="Times New Roman" w:eastAsia="Times New Roman" w:hAnsi="Times New Roman"/>
                <w:sz w:val="15"/>
                <w:szCs w:val="15"/>
                <w:i w:val="1"/>
                <w:iCs w:val="1"/>
                <w:color w:val="auto"/>
              </w:rPr>
              <w:t>C</w:t>
            </w:r>
            <w:r>
              <w:rPr>
                <w:rFonts w:ascii="宋体" w:cs="宋体" w:eastAsia="宋体" w:hAnsi="宋体"/>
                <w:sz w:val="15"/>
                <w:szCs w:val="15"/>
                <w:color w:val="auto"/>
              </w:rPr>
              <w:t>－</w:t>
            </w:r>
            <w:r>
              <w:rPr>
                <w:rFonts w:ascii="Times New Roman" w:cs="Times New Roman" w:eastAsia="Times New Roman" w:hAnsi="Times New Roman"/>
                <w:sz w:val="15"/>
                <w:szCs w:val="15"/>
                <w:i w:val="1"/>
                <w:iCs w:val="1"/>
                <w:color w:val="auto"/>
              </w:rPr>
              <w:t xml:space="preserve">P </w:t>
            </w:r>
            <w:r>
              <w:rPr>
                <w:rFonts w:ascii="宋体" w:cs="宋体" w:eastAsia="宋体" w:hAnsi="宋体"/>
                <w:sz w:val="15"/>
                <w:szCs w:val="15"/>
                <w:color w:val="auto"/>
              </w:rPr>
              <w:t>的</w:t>
            </w:r>
            <w:r>
              <w:rPr>
                <w:rFonts w:ascii="Times New Roman" w:cs="Times New Roman" w:eastAsia="Times New Roman" w:hAnsi="Times New Roman"/>
                <w:sz w:val="15"/>
                <w:szCs w:val="15"/>
                <w:i w:val="1"/>
                <w:iCs w:val="1"/>
                <w:color w:val="auto"/>
              </w:rPr>
              <w:t xml:space="preserve"> </w:t>
            </w:r>
            <w:r>
              <w:rPr>
                <w:rFonts w:ascii="Times New Roman" w:cs="Times New Roman" w:eastAsia="Times New Roman" w:hAnsi="Times New Roman"/>
                <w:sz w:val="15"/>
                <w:szCs w:val="15"/>
                <w:color w:val="auto"/>
              </w:rPr>
              <w:t>95%</w:t>
            </w:r>
            <w:r>
              <w:rPr>
                <w:rFonts w:ascii="Times New Roman" w:cs="Times New Roman" w:eastAsia="Times New Roman" w:hAnsi="Times New Roman"/>
                <w:sz w:val="15"/>
                <w:szCs w:val="15"/>
                <w:i w:val="1"/>
                <w:iCs w:val="1"/>
                <w:color w:val="auto"/>
              </w:rPr>
              <w:t xml:space="preserve"> CI </w:t>
            </w:r>
            <w:r>
              <w:rPr>
                <w:rFonts w:ascii="宋体" w:cs="宋体" w:eastAsia="宋体" w:hAnsi="宋体"/>
                <w:sz w:val="15"/>
                <w:szCs w:val="15"/>
                <w:color w:val="auto"/>
              </w:rPr>
              <w:t>下限</w:t>
            </w:r>
          </w:p>
        </w:tc>
        <w:tc>
          <w:tcPr>
            <w:tcW w:w="20" w:type="dxa"/>
            <w:vAlign w:val="bottom"/>
          </w:tcPr>
          <w:p>
            <w:pPr>
              <w:spacing w:after="0"/>
              <w:rPr>
                <w:sz w:val="7"/>
                <w:szCs w:val="7"/>
                <w:color w:val="auto"/>
              </w:rPr>
            </w:pPr>
          </w:p>
        </w:tc>
        <w:tc>
          <w:tcPr>
            <w:tcW w:w="360" w:type="dxa"/>
            <w:vAlign w:val="bottom"/>
            <w:tcBorders>
              <w:right w:val="single" w:sz="8" w:color="auto"/>
            </w:tcBorders>
            <w:vMerge w:val="restart"/>
          </w:tcPr>
          <w:p>
            <w:pPr>
              <w:spacing w:after="0"/>
              <w:rPr>
                <w:sz w:val="7"/>
                <w:szCs w:val="7"/>
                <w:color w:val="auto"/>
              </w:rPr>
            </w:pPr>
          </w:p>
        </w:tc>
        <w:tc>
          <w:tcPr>
            <w:tcW w:w="1080" w:type="dxa"/>
            <w:vAlign w:val="bottom"/>
          </w:tcPr>
          <w:p>
            <w:pPr>
              <w:spacing w:after="0"/>
              <w:rPr>
                <w:sz w:val="7"/>
                <w:szCs w:val="7"/>
                <w:color w:val="auto"/>
              </w:rPr>
            </w:pPr>
          </w:p>
        </w:tc>
        <w:tc>
          <w:tcPr>
            <w:tcW w:w="124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12"/>
        </w:trPr>
        <w:tc>
          <w:tcPr>
            <w:tcW w:w="1900" w:type="dxa"/>
            <w:vAlign w:val="bottom"/>
            <w:gridSpan w:val="4"/>
            <w:vMerge w:val="continue"/>
          </w:tcPr>
          <w:p>
            <w:pPr>
              <w:spacing w:after="0"/>
              <w:rPr>
                <w:sz w:val="9"/>
                <w:szCs w:val="9"/>
                <w:color w:val="auto"/>
              </w:rPr>
            </w:pPr>
          </w:p>
        </w:tc>
        <w:tc>
          <w:tcPr>
            <w:tcW w:w="20" w:type="dxa"/>
            <w:vAlign w:val="bottom"/>
            <w:shd w:val="clear" w:color="auto" w:fill="000000"/>
          </w:tcPr>
          <w:p>
            <w:pPr>
              <w:spacing w:after="0"/>
              <w:rPr>
                <w:sz w:val="9"/>
                <w:szCs w:val="9"/>
                <w:color w:val="auto"/>
              </w:rPr>
            </w:pPr>
          </w:p>
        </w:tc>
        <w:tc>
          <w:tcPr>
            <w:tcW w:w="360" w:type="dxa"/>
            <w:vAlign w:val="bottom"/>
            <w:tcBorders>
              <w:right w:val="single" w:sz="8" w:color="auto"/>
            </w:tcBorders>
            <w:vMerge w:val="continue"/>
          </w:tcPr>
          <w:p>
            <w:pPr>
              <w:spacing w:after="0"/>
              <w:rPr>
                <w:sz w:val="9"/>
                <w:szCs w:val="9"/>
                <w:color w:val="auto"/>
              </w:rPr>
            </w:pPr>
          </w:p>
        </w:tc>
        <w:tc>
          <w:tcPr>
            <w:tcW w:w="1080" w:type="dxa"/>
            <w:vAlign w:val="bottom"/>
            <w:tcBorders>
              <w:right w:val="single" w:sz="8" w:color="auto"/>
            </w:tcBorders>
          </w:tcPr>
          <w:p>
            <w:pPr>
              <w:spacing w:after="0"/>
              <w:rPr>
                <w:sz w:val="9"/>
                <w:szCs w:val="9"/>
                <w:color w:val="auto"/>
              </w:rPr>
            </w:pPr>
          </w:p>
        </w:tc>
        <w:tc>
          <w:tcPr>
            <w:tcW w:w="124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87"/>
        </w:trPr>
        <w:tc>
          <w:tcPr>
            <w:tcW w:w="360" w:type="dxa"/>
            <w:vAlign w:val="bottom"/>
          </w:tcPr>
          <w:p>
            <w:pPr>
              <w:spacing w:after="0"/>
              <w:rPr>
                <w:sz w:val="7"/>
                <w:szCs w:val="7"/>
                <w:color w:val="auto"/>
              </w:rPr>
            </w:pPr>
          </w:p>
        </w:tc>
        <w:tc>
          <w:tcPr>
            <w:tcW w:w="680" w:type="dxa"/>
            <w:vAlign w:val="bottom"/>
          </w:tcPr>
          <w:p>
            <w:pPr>
              <w:spacing w:after="0"/>
              <w:rPr>
                <w:sz w:val="7"/>
                <w:szCs w:val="7"/>
                <w:color w:val="auto"/>
              </w:rPr>
            </w:pPr>
          </w:p>
        </w:tc>
        <w:tc>
          <w:tcPr>
            <w:tcW w:w="640" w:type="dxa"/>
            <w:vAlign w:val="bottom"/>
          </w:tcPr>
          <w:p>
            <w:pPr>
              <w:spacing w:after="0"/>
              <w:rPr>
                <w:sz w:val="7"/>
                <w:szCs w:val="7"/>
                <w:color w:val="auto"/>
              </w:rPr>
            </w:pPr>
          </w:p>
        </w:tc>
        <w:tc>
          <w:tcPr>
            <w:tcW w:w="220" w:type="dxa"/>
            <w:vAlign w:val="bottom"/>
          </w:tcPr>
          <w:p>
            <w:pPr>
              <w:spacing w:after="0"/>
              <w:rPr>
                <w:sz w:val="7"/>
                <w:szCs w:val="7"/>
                <w:color w:val="auto"/>
              </w:rPr>
            </w:pPr>
          </w:p>
        </w:tc>
        <w:tc>
          <w:tcPr>
            <w:tcW w:w="20" w:type="dxa"/>
            <w:vAlign w:val="bottom"/>
            <w:shd w:val="clear" w:color="auto" w:fill="000000"/>
          </w:tcPr>
          <w:p>
            <w:pPr>
              <w:spacing w:after="0"/>
              <w:rPr>
                <w:sz w:val="7"/>
                <w:szCs w:val="7"/>
                <w:color w:val="auto"/>
              </w:rPr>
            </w:pPr>
          </w:p>
        </w:tc>
        <w:tc>
          <w:tcPr>
            <w:tcW w:w="360" w:type="dxa"/>
            <w:vAlign w:val="bottom"/>
            <w:tcBorders>
              <w:right w:val="single" w:sz="8" w:color="auto"/>
            </w:tcBorders>
          </w:tcPr>
          <w:p>
            <w:pPr>
              <w:spacing w:after="0"/>
              <w:rPr>
                <w:sz w:val="7"/>
                <w:szCs w:val="7"/>
                <w:color w:val="auto"/>
              </w:rPr>
            </w:pPr>
          </w:p>
        </w:tc>
        <w:tc>
          <w:tcPr>
            <w:tcW w:w="1080" w:type="dxa"/>
            <w:vAlign w:val="bottom"/>
            <w:tcBorders>
              <w:right w:val="single" w:sz="8" w:color="auto"/>
            </w:tcBorders>
          </w:tcPr>
          <w:p>
            <w:pPr>
              <w:spacing w:after="0"/>
              <w:rPr>
                <w:sz w:val="7"/>
                <w:szCs w:val="7"/>
                <w:color w:val="auto"/>
              </w:rPr>
            </w:pPr>
          </w:p>
        </w:tc>
        <w:tc>
          <w:tcPr>
            <w:tcW w:w="124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401"/>
        </w:trPr>
        <w:tc>
          <w:tcPr>
            <w:tcW w:w="360" w:type="dxa"/>
            <w:vAlign w:val="bottom"/>
          </w:tcPr>
          <w:p>
            <w:pPr>
              <w:spacing w:after="0"/>
              <w:rPr>
                <w:sz w:val="24"/>
                <w:szCs w:val="24"/>
                <w:color w:val="auto"/>
              </w:rPr>
            </w:pPr>
          </w:p>
        </w:tc>
        <w:tc>
          <w:tcPr>
            <w:tcW w:w="680" w:type="dxa"/>
            <w:vAlign w:val="bottom"/>
          </w:tcPr>
          <w:p>
            <w:pPr>
              <w:spacing w:after="0"/>
              <w:rPr>
                <w:sz w:val="24"/>
                <w:szCs w:val="24"/>
                <w:color w:val="auto"/>
              </w:rPr>
            </w:pPr>
          </w:p>
        </w:tc>
        <w:tc>
          <w:tcPr>
            <w:tcW w:w="1240" w:type="dxa"/>
            <w:vAlign w:val="bottom"/>
            <w:tcBorders>
              <w:right w:val="single" w:sz="8" w:color="auto"/>
            </w:tcBorders>
            <w:gridSpan w:val="4"/>
          </w:tcPr>
          <w:p>
            <w:pPr>
              <w:ind w:left="240"/>
              <w:spacing w:after="0" w:line="172" w:lineRule="exact"/>
              <w:rPr>
                <w:sz w:val="20"/>
                <w:szCs w:val="20"/>
                <w:color w:val="auto"/>
              </w:rPr>
            </w:pPr>
            <w:r>
              <w:rPr>
                <w:rFonts w:ascii="宋体" w:cs="宋体" w:eastAsia="宋体" w:hAnsi="宋体"/>
                <w:sz w:val="15"/>
                <w:szCs w:val="15"/>
                <w:color w:val="auto"/>
              </w:rPr>
              <w:t>非劣效界值</w:t>
            </w:r>
          </w:p>
        </w:tc>
        <w:tc>
          <w:tcPr>
            <w:tcW w:w="1080" w:type="dxa"/>
            <w:vAlign w:val="bottom"/>
          </w:tcPr>
          <w:p>
            <w:pPr>
              <w:spacing w:after="0"/>
              <w:rPr>
                <w:sz w:val="24"/>
                <w:szCs w:val="24"/>
                <w:color w:val="auto"/>
              </w:rPr>
            </w:pPr>
          </w:p>
        </w:tc>
        <w:tc>
          <w:tcPr>
            <w:tcW w:w="124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02"/>
        </w:trPr>
        <w:tc>
          <w:tcPr>
            <w:tcW w:w="360" w:type="dxa"/>
            <w:vAlign w:val="bottom"/>
          </w:tcPr>
          <w:p>
            <w:pPr>
              <w:spacing w:after="0"/>
              <w:rPr>
                <w:sz w:val="8"/>
                <w:szCs w:val="8"/>
                <w:color w:val="auto"/>
              </w:rPr>
            </w:pPr>
          </w:p>
        </w:tc>
        <w:tc>
          <w:tcPr>
            <w:tcW w:w="680" w:type="dxa"/>
            <w:vAlign w:val="bottom"/>
          </w:tcPr>
          <w:p>
            <w:pPr>
              <w:spacing w:after="0"/>
              <w:rPr>
                <w:sz w:val="8"/>
                <w:szCs w:val="8"/>
                <w:color w:val="auto"/>
              </w:rPr>
            </w:pPr>
          </w:p>
        </w:tc>
        <w:tc>
          <w:tcPr>
            <w:tcW w:w="640" w:type="dxa"/>
            <w:vAlign w:val="bottom"/>
          </w:tcPr>
          <w:p>
            <w:pPr>
              <w:spacing w:after="0"/>
              <w:rPr>
                <w:sz w:val="8"/>
                <w:szCs w:val="8"/>
                <w:color w:val="auto"/>
              </w:rPr>
            </w:pPr>
          </w:p>
        </w:tc>
        <w:tc>
          <w:tcPr>
            <w:tcW w:w="220" w:type="dxa"/>
            <w:vAlign w:val="bottom"/>
          </w:tcPr>
          <w:p>
            <w:pPr>
              <w:spacing w:after="0"/>
              <w:rPr>
                <w:sz w:val="8"/>
                <w:szCs w:val="8"/>
                <w:color w:val="auto"/>
              </w:rPr>
            </w:pPr>
          </w:p>
        </w:tc>
        <w:tc>
          <w:tcPr>
            <w:tcW w:w="20" w:type="dxa"/>
            <w:vAlign w:val="bottom"/>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1080" w:type="dxa"/>
            <w:vAlign w:val="bottom"/>
          </w:tcPr>
          <w:p>
            <w:pPr>
              <w:spacing w:after="0"/>
              <w:rPr>
                <w:sz w:val="8"/>
                <w:szCs w:val="8"/>
                <w:color w:val="auto"/>
              </w:rPr>
            </w:pPr>
          </w:p>
        </w:tc>
        <w:tc>
          <w:tcPr>
            <w:tcW w:w="124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31"/>
        </w:trPr>
        <w:tc>
          <w:tcPr>
            <w:tcW w:w="360" w:type="dxa"/>
            <w:vAlign w:val="bottom"/>
            <w:tcBorders>
              <w:bottom w:val="single" w:sz="8" w:color="auto"/>
            </w:tcBorders>
          </w:tcPr>
          <w:p>
            <w:pPr>
              <w:spacing w:after="0"/>
              <w:rPr>
                <w:sz w:val="11"/>
                <w:szCs w:val="11"/>
                <w:color w:val="auto"/>
              </w:rPr>
            </w:pPr>
          </w:p>
        </w:tc>
        <w:tc>
          <w:tcPr>
            <w:tcW w:w="680" w:type="dxa"/>
            <w:vAlign w:val="bottom"/>
            <w:tcBorders>
              <w:bottom w:val="single" w:sz="8" w:color="auto"/>
              <w:right w:val="single" w:sz="8" w:color="auto"/>
            </w:tcBorders>
          </w:tcPr>
          <w:p>
            <w:pPr>
              <w:spacing w:after="0"/>
              <w:rPr>
                <w:sz w:val="11"/>
                <w:szCs w:val="11"/>
                <w:color w:val="auto"/>
              </w:rPr>
            </w:pPr>
          </w:p>
        </w:tc>
        <w:tc>
          <w:tcPr>
            <w:tcW w:w="640" w:type="dxa"/>
            <w:vAlign w:val="bottom"/>
            <w:tcBorders>
              <w:bottom w:val="single" w:sz="8" w:color="auto"/>
              <w:right w:val="single" w:sz="8" w:color="auto"/>
            </w:tcBorders>
          </w:tcPr>
          <w:p>
            <w:pPr>
              <w:spacing w:after="0"/>
              <w:rPr>
                <w:sz w:val="11"/>
                <w:szCs w:val="11"/>
                <w:color w:val="auto"/>
              </w:rPr>
            </w:pPr>
          </w:p>
        </w:tc>
        <w:tc>
          <w:tcPr>
            <w:tcW w:w="220" w:type="dxa"/>
            <w:vAlign w:val="bottom"/>
            <w:tcBorders>
              <w:bottom w:val="single" w:sz="8" w:color="auto"/>
            </w:tcBorders>
          </w:tcPr>
          <w:p>
            <w:pPr>
              <w:spacing w:after="0"/>
              <w:rPr>
                <w:sz w:val="11"/>
                <w:szCs w:val="11"/>
                <w:color w:val="auto"/>
              </w:rPr>
            </w:pPr>
          </w:p>
        </w:tc>
        <w:tc>
          <w:tcPr>
            <w:tcW w:w="20" w:type="dxa"/>
            <w:vAlign w:val="bottom"/>
            <w:tcBorders>
              <w:bottom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1080" w:type="dxa"/>
            <w:vAlign w:val="bottom"/>
            <w:tcBorders>
              <w:bottom w:val="single" w:sz="8" w:color="auto"/>
            </w:tcBorders>
          </w:tcPr>
          <w:p>
            <w:pPr>
              <w:spacing w:after="0"/>
              <w:rPr>
                <w:sz w:val="11"/>
                <w:szCs w:val="11"/>
                <w:color w:val="auto"/>
              </w:rPr>
            </w:pPr>
          </w:p>
        </w:tc>
        <w:tc>
          <w:tcPr>
            <w:tcW w:w="1240" w:type="dxa"/>
            <w:vAlign w:val="bottom"/>
            <w:tcBorders>
              <w:bottom w:val="single" w:sz="8" w:color="auto"/>
            </w:tcBorders>
          </w:tcPr>
          <w:p>
            <w:pPr>
              <w:spacing w:after="0"/>
              <w:rPr>
                <w:sz w:val="11"/>
                <w:szCs w:val="11"/>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11430</wp:posOffset>
            </wp:positionH>
            <wp:positionV relativeFrom="paragraph">
              <wp:posOffset>-828675</wp:posOffset>
            </wp:positionV>
            <wp:extent cx="2116455" cy="103632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clrChange>
                        <a:clrFrom>
                          <a:srgbClr val="000000"/>
                        </a:clrFrom>
                        <a:clrTo>
                          <a:srgbClr val="000000">
                            <a:alpha val="0"/>
                          </a:srgbClr>
                        </a:clrTo>
                      </a:clrChange>
                      <a:extLst>
                        <a:ext uri="{28A0092B-C50C-407E-A947-70E740481C1C}"/>
                      </a:extLst>
                    </a:blip>
                    <a:srcRect/>
                    <a:stretch>
                      <a:fillRect/>
                    </a:stretch>
                  </pic:blipFill>
                  <pic:spPr bwMode="auto">
                    <a:xfrm>
                      <a:off x="0" y="0"/>
                      <a:ext cx="2116455" cy="1036320"/>
                    </a:xfrm>
                    <a:prstGeom prst="rect">
                      <a:avLst/>
                    </a:prstGeom>
                    <a:noFill/>
                  </pic:spPr>
                </pic:pic>
              </a:graphicData>
            </a:graphic>
          </wp:anchor>
        </w:drawing>
        <w:drawing>
          <wp:anchor simplePos="0" relativeHeight="251657728" behindDoc="1" locked="0" layoutInCell="0" allowOverlap="1">
            <wp:simplePos x="0" y="0"/>
            <wp:positionH relativeFrom="column">
              <wp:posOffset>11430</wp:posOffset>
            </wp:positionH>
            <wp:positionV relativeFrom="paragraph">
              <wp:posOffset>-828675</wp:posOffset>
            </wp:positionV>
            <wp:extent cx="2116455" cy="10363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clrChange>
                        <a:clrFrom>
                          <a:srgbClr val="FFFFFF"/>
                        </a:clrFrom>
                        <a:clrTo>
                          <a:srgbClr val="FFFFFF">
                            <a:alpha val="0"/>
                          </a:srgbClr>
                        </a:clrTo>
                      </a:clrChange>
                      <a:extLst>
                        <a:ext uri="{28A0092B-C50C-407E-A947-70E740481C1C}"/>
                      </a:extLst>
                    </a:blip>
                    <a:srcRect/>
                    <a:stretch>
                      <a:fillRect/>
                    </a:stretch>
                  </pic:blipFill>
                  <pic:spPr bwMode="auto">
                    <a:xfrm>
                      <a:off x="0" y="0"/>
                      <a:ext cx="2116455" cy="1036320"/>
                    </a:xfrm>
                    <a:prstGeom prst="rect">
                      <a:avLst/>
                    </a:prstGeom>
                    <a:noFill/>
                  </pic:spPr>
                </pic:pic>
              </a:graphicData>
            </a:graphic>
          </wp:anchor>
        </w:drawing>
      </w:r>
    </w:p>
    <w:p>
      <w:pPr>
        <w:ind w:left="780"/>
        <w:spacing w:after="0" w:line="252" w:lineRule="exact"/>
        <w:tabs>
          <w:tab w:leader="none" w:pos="1400" w:val="left"/>
          <w:tab w:leader="none" w:pos="2220" w:val="left"/>
        </w:tabs>
        <w:rPr>
          <w:sz w:val="20"/>
          <w:szCs w:val="20"/>
          <w:color w:val="auto"/>
        </w:rPr>
      </w:pPr>
      <w:r>
        <w:rPr>
          <w:rFonts w:ascii="宋体" w:cs="宋体" w:eastAsia="宋体" w:hAnsi="宋体"/>
          <w:sz w:val="21"/>
          <w:szCs w:val="21"/>
          <w:i w:val="1"/>
          <w:iCs w:val="1"/>
          <w:color w:val="auto"/>
        </w:rPr>
        <w:t>－</w:t>
      </w:r>
      <w:r>
        <w:rPr>
          <w:rFonts w:ascii="Times New Roman" w:cs="Times New Roman" w:eastAsia="Times New Roman" w:hAnsi="Times New Roman"/>
          <w:sz w:val="21"/>
          <w:szCs w:val="21"/>
          <w:i w:val="1"/>
          <w:iCs w:val="1"/>
          <w:color w:val="auto"/>
        </w:rPr>
        <w:t>M</w:t>
      </w:r>
      <w:r>
        <w:rPr>
          <w:rFonts w:ascii="Times New Roman" w:cs="Times New Roman" w:eastAsia="Times New Roman" w:hAnsi="Times New Roman"/>
          <w:sz w:val="13"/>
          <w:szCs w:val="13"/>
          <w:color w:val="auto"/>
        </w:rPr>
        <w:t>1</w:t>
      </w:r>
      <w:r>
        <w:rPr>
          <w:sz w:val="20"/>
          <w:szCs w:val="20"/>
          <w:color w:val="auto"/>
        </w:rPr>
        <w:tab/>
      </w:r>
      <w:r>
        <w:rPr>
          <w:rFonts w:ascii="宋体" w:cs="宋体" w:eastAsia="宋体" w:hAnsi="宋体"/>
          <w:sz w:val="21"/>
          <w:szCs w:val="21"/>
          <w:i w:val="1"/>
          <w:iCs w:val="1"/>
          <w:color w:val="auto"/>
        </w:rPr>
        <w:t>－</w:t>
      </w:r>
      <w:r>
        <w:rPr>
          <w:rFonts w:ascii="Times New Roman" w:cs="Times New Roman" w:eastAsia="Times New Roman" w:hAnsi="Times New Roman"/>
          <w:sz w:val="21"/>
          <w:szCs w:val="21"/>
          <w:i w:val="1"/>
          <w:iCs w:val="1"/>
          <w:color w:val="auto"/>
        </w:rPr>
        <w:t>M</w:t>
      </w:r>
      <w:r>
        <w:rPr>
          <w:rFonts w:ascii="Times New Roman" w:cs="Times New Roman" w:eastAsia="Times New Roman" w:hAnsi="Times New Roman"/>
          <w:sz w:val="13"/>
          <w:szCs w:val="13"/>
          <w:color w:val="auto"/>
        </w:rPr>
        <w:t>2</w:t>
      </w:r>
      <w:r>
        <w:rPr>
          <w:sz w:val="20"/>
          <w:szCs w:val="20"/>
          <w:color w:val="auto"/>
        </w:rPr>
        <w:tab/>
      </w:r>
      <w:r>
        <w:rPr>
          <w:rFonts w:ascii="Times New Roman" w:cs="Times New Roman" w:eastAsia="Times New Roman" w:hAnsi="Times New Roman"/>
          <w:sz w:val="20"/>
          <w:szCs w:val="20"/>
          <w:b w:val="1"/>
          <w:bCs w:val="1"/>
          <w:color w:val="auto"/>
        </w:rPr>
        <w:t>0</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200660</wp:posOffset>
            </wp:positionH>
            <wp:positionV relativeFrom="paragraph">
              <wp:posOffset>233045</wp:posOffset>
            </wp:positionV>
            <wp:extent cx="1237615" cy="36576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clrChange>
                        <a:clrFrom>
                          <a:srgbClr val="000000"/>
                        </a:clrFrom>
                        <a:clrTo>
                          <a:srgbClr val="000000">
                            <a:alpha val="0"/>
                          </a:srgbClr>
                        </a:clrTo>
                      </a:clrChange>
                      <a:extLst>
                        <a:ext uri="{28A0092B-C50C-407E-A947-70E740481C1C}"/>
                      </a:extLst>
                    </a:blip>
                    <a:srcRect/>
                    <a:stretch>
                      <a:fillRect/>
                    </a:stretch>
                  </pic:blipFill>
                  <pic:spPr bwMode="auto">
                    <a:xfrm>
                      <a:off x="0" y="0"/>
                      <a:ext cx="1237615" cy="365760"/>
                    </a:xfrm>
                    <a:prstGeom prst="rect">
                      <a:avLst/>
                    </a:prstGeom>
                    <a:noFill/>
                  </pic:spPr>
                </pic:pic>
              </a:graphicData>
            </a:graphic>
          </wp:anchor>
        </w:drawing>
        <w:drawing>
          <wp:anchor simplePos="0" relativeHeight="251657728" behindDoc="1" locked="0" layoutInCell="0" allowOverlap="1">
            <wp:simplePos x="0" y="0"/>
            <wp:positionH relativeFrom="column">
              <wp:posOffset>200660</wp:posOffset>
            </wp:positionH>
            <wp:positionV relativeFrom="paragraph">
              <wp:posOffset>233045</wp:posOffset>
            </wp:positionV>
            <wp:extent cx="1237615" cy="36576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clrChange>
                        <a:clrFrom>
                          <a:srgbClr val="FFFFFF"/>
                        </a:clrFrom>
                        <a:clrTo>
                          <a:srgbClr val="FFFFFF">
                            <a:alpha val="0"/>
                          </a:srgbClr>
                        </a:clrTo>
                      </a:clrChange>
                      <a:extLst>
                        <a:ext uri="{28A0092B-C50C-407E-A947-70E740481C1C}"/>
                      </a:extLst>
                    </a:blip>
                    <a:srcRect/>
                    <a:stretch>
                      <a:fillRect/>
                    </a:stretch>
                  </pic:blipFill>
                  <pic:spPr bwMode="auto">
                    <a:xfrm>
                      <a:off x="0" y="0"/>
                      <a:ext cx="1237615" cy="365760"/>
                    </a:xfrm>
                    <a:prstGeom prst="rect">
                      <a:avLst/>
                    </a:prstGeom>
                    <a:noFill/>
                  </pic:spPr>
                </pic:pic>
              </a:graphicData>
            </a:graphic>
          </wp:anchor>
        </w:drawing>
      </w:r>
    </w:p>
    <w:p>
      <w:pPr>
        <w:spacing w:after="0" w:line="347" w:lineRule="exact"/>
        <w:rPr>
          <w:sz w:val="20"/>
          <w:szCs w:val="20"/>
          <w:color w:val="auto"/>
        </w:rPr>
      </w:pPr>
    </w:p>
    <w:tbl>
      <w:tblPr>
        <w:tblLayout w:type="fixed"/>
        <w:tblInd w:w="40" w:type="dxa"/>
        <w:tblCellMar>
          <w:top w:w="0" w:type="dxa"/>
          <w:left w:w="0" w:type="dxa"/>
          <w:bottom w:w="0" w:type="dxa"/>
          <w:right w:w="0" w:type="dxa"/>
        </w:tblCellMar>
      </w:tblPr>
      <w:tr>
        <w:trPr>
          <w:trHeight w:val="171"/>
        </w:trPr>
        <w:tc>
          <w:tcPr>
            <w:tcW w:w="2080" w:type="dxa"/>
            <w:vAlign w:val="bottom"/>
            <w:gridSpan w:val="2"/>
          </w:tcPr>
          <w:p>
            <w:pPr>
              <w:ind w:left="420"/>
              <w:spacing w:after="0" w:line="172" w:lineRule="exact"/>
              <w:rPr>
                <w:sz w:val="20"/>
                <w:szCs w:val="20"/>
                <w:color w:val="auto"/>
              </w:rPr>
            </w:pPr>
            <w:r>
              <w:rPr>
                <w:rFonts w:ascii="宋体" w:cs="宋体" w:eastAsia="宋体" w:hAnsi="宋体"/>
                <w:sz w:val="15"/>
                <w:szCs w:val="15"/>
                <w:color w:val="auto"/>
              </w:rPr>
              <w:t>试验药与阳性对照药的</w:t>
            </w:r>
          </w:p>
        </w:tc>
        <w:tc>
          <w:tcPr>
            <w:tcW w:w="200" w:type="dxa"/>
            <w:vAlign w:val="bottom"/>
          </w:tcPr>
          <w:p>
            <w:pPr>
              <w:spacing w:after="0"/>
              <w:rPr>
                <w:sz w:val="14"/>
                <w:szCs w:val="14"/>
                <w:color w:val="auto"/>
              </w:rPr>
            </w:pPr>
          </w:p>
        </w:tc>
        <w:tc>
          <w:tcPr>
            <w:tcW w:w="320" w:type="dxa"/>
            <w:vAlign w:val="bottom"/>
          </w:tcPr>
          <w:p>
            <w:pPr>
              <w:spacing w:after="0"/>
              <w:rPr>
                <w:sz w:val="14"/>
                <w:szCs w:val="14"/>
                <w:color w:val="auto"/>
              </w:rPr>
            </w:pPr>
          </w:p>
        </w:tc>
        <w:tc>
          <w:tcPr>
            <w:tcW w:w="20" w:type="dxa"/>
            <w:vAlign w:val="bottom"/>
          </w:tcPr>
          <w:p>
            <w:pPr>
              <w:spacing w:after="0"/>
              <w:rPr>
                <w:sz w:val="14"/>
                <w:szCs w:val="14"/>
                <w:color w:val="auto"/>
              </w:rPr>
            </w:pPr>
          </w:p>
        </w:tc>
        <w:tc>
          <w:tcPr>
            <w:tcW w:w="20" w:type="dxa"/>
            <w:vAlign w:val="bottom"/>
          </w:tcPr>
          <w:p>
            <w:pPr>
              <w:spacing w:after="0"/>
              <w:rPr>
                <w:sz w:val="14"/>
                <w:szCs w:val="14"/>
                <w:color w:val="auto"/>
              </w:rPr>
            </w:pPr>
          </w:p>
        </w:tc>
        <w:tc>
          <w:tcPr>
            <w:tcW w:w="260" w:type="dxa"/>
            <w:vAlign w:val="bottom"/>
          </w:tcPr>
          <w:p>
            <w:pPr>
              <w:spacing w:after="0"/>
              <w:rPr>
                <w:sz w:val="14"/>
                <w:szCs w:val="14"/>
                <w:color w:val="auto"/>
              </w:rPr>
            </w:pPr>
          </w:p>
        </w:tc>
        <w:tc>
          <w:tcPr>
            <w:tcW w:w="120" w:type="dxa"/>
            <w:vAlign w:val="bottom"/>
          </w:tcPr>
          <w:p>
            <w:pPr>
              <w:spacing w:after="0"/>
              <w:rPr>
                <w:sz w:val="14"/>
                <w:szCs w:val="14"/>
                <w:color w:val="auto"/>
              </w:rPr>
            </w:pPr>
          </w:p>
        </w:tc>
        <w:tc>
          <w:tcPr>
            <w:tcW w:w="140" w:type="dxa"/>
            <w:vAlign w:val="bottom"/>
          </w:tcPr>
          <w:p>
            <w:pPr>
              <w:spacing w:after="0"/>
              <w:rPr>
                <w:sz w:val="14"/>
                <w:szCs w:val="14"/>
                <w:color w:val="auto"/>
              </w:rPr>
            </w:pPr>
          </w:p>
        </w:tc>
        <w:tc>
          <w:tcPr>
            <w:tcW w:w="380" w:type="dxa"/>
            <w:vAlign w:val="bottom"/>
          </w:tcPr>
          <w:p>
            <w:pPr>
              <w:spacing w:after="0"/>
              <w:rPr>
                <w:sz w:val="14"/>
                <w:szCs w:val="14"/>
                <w:color w:val="auto"/>
              </w:rPr>
            </w:pPr>
          </w:p>
        </w:tc>
        <w:tc>
          <w:tcPr>
            <w:tcW w:w="106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48"/>
        </w:trPr>
        <w:tc>
          <w:tcPr>
            <w:tcW w:w="2080" w:type="dxa"/>
            <w:vAlign w:val="bottom"/>
            <w:gridSpan w:val="2"/>
            <w:vMerge w:val="restart"/>
          </w:tcPr>
          <w:p>
            <w:pPr>
              <w:ind w:left="420"/>
              <w:spacing w:after="0" w:line="172" w:lineRule="exact"/>
              <w:rPr>
                <w:sz w:val="20"/>
                <w:szCs w:val="20"/>
                <w:color w:val="auto"/>
              </w:rPr>
            </w:pPr>
            <w:r>
              <w:rPr>
                <w:rFonts w:ascii="宋体" w:cs="宋体" w:eastAsia="宋体" w:hAnsi="宋体"/>
                <w:sz w:val="15"/>
                <w:szCs w:val="15"/>
                <w:color w:val="auto"/>
              </w:rPr>
              <w:t>非劣效试验中</w:t>
            </w:r>
          </w:p>
        </w:tc>
        <w:tc>
          <w:tcPr>
            <w:tcW w:w="200" w:type="dxa"/>
            <w:vAlign w:val="bottom"/>
          </w:tcPr>
          <w:p>
            <w:pPr>
              <w:spacing w:after="0"/>
              <w:rPr>
                <w:sz w:val="4"/>
                <w:szCs w:val="4"/>
                <w:color w:val="auto"/>
              </w:rPr>
            </w:pPr>
          </w:p>
        </w:tc>
        <w:tc>
          <w:tcPr>
            <w:tcW w:w="320" w:type="dxa"/>
            <w:vAlign w:val="bottom"/>
          </w:tcPr>
          <w:p>
            <w:pPr>
              <w:spacing w:after="0"/>
              <w:rPr>
                <w:sz w:val="4"/>
                <w:szCs w:val="4"/>
                <w:color w:val="auto"/>
              </w:rPr>
            </w:pPr>
          </w:p>
        </w:tc>
        <w:tc>
          <w:tcPr>
            <w:tcW w:w="20" w:type="dxa"/>
            <w:vAlign w:val="bottom"/>
          </w:tcPr>
          <w:p>
            <w:pPr>
              <w:spacing w:after="0"/>
              <w:rPr>
                <w:sz w:val="4"/>
                <w:szCs w:val="4"/>
                <w:color w:val="auto"/>
              </w:rPr>
            </w:pPr>
          </w:p>
        </w:tc>
        <w:tc>
          <w:tcPr>
            <w:tcW w:w="20" w:type="dxa"/>
            <w:vAlign w:val="bottom"/>
          </w:tcPr>
          <w:p>
            <w:pPr>
              <w:spacing w:after="0"/>
              <w:rPr>
                <w:sz w:val="4"/>
                <w:szCs w:val="4"/>
                <w:color w:val="auto"/>
              </w:rPr>
            </w:pPr>
          </w:p>
        </w:tc>
        <w:tc>
          <w:tcPr>
            <w:tcW w:w="380" w:type="dxa"/>
            <w:vAlign w:val="bottom"/>
            <w:gridSpan w:val="2"/>
            <w:vMerge w:val="restart"/>
          </w:tcPr>
          <w:p>
            <w:pPr>
              <w:ind w:left="180"/>
              <w:spacing w:after="0"/>
              <w:rPr>
                <w:sz w:val="20"/>
                <w:szCs w:val="20"/>
                <w:color w:val="auto"/>
              </w:rPr>
            </w:pPr>
            <w:r>
              <w:rPr>
                <w:rFonts w:ascii="Times New Roman" w:cs="Times New Roman" w:eastAsia="Times New Roman" w:hAnsi="Times New Roman"/>
                <w:sz w:val="15"/>
                <w:szCs w:val="15"/>
                <w:i w:val="1"/>
                <w:iCs w:val="1"/>
                <w:color w:val="auto"/>
              </w:rPr>
              <w:t>M</w:t>
            </w:r>
            <w:r>
              <w:rPr>
                <w:rFonts w:ascii="Times New Roman" w:cs="Times New Roman" w:eastAsia="Times New Roman" w:hAnsi="Times New Roman"/>
                <w:sz w:val="10"/>
                <w:szCs w:val="10"/>
                <w:color w:val="auto"/>
              </w:rPr>
              <w:t>1</w:t>
            </w:r>
          </w:p>
        </w:tc>
        <w:tc>
          <w:tcPr>
            <w:tcW w:w="1580" w:type="dxa"/>
            <w:vAlign w:val="bottom"/>
            <w:gridSpan w:val="3"/>
            <w:vMerge w:val="restart"/>
          </w:tcPr>
          <w:p>
            <w:pPr>
              <w:ind w:left="20"/>
              <w:spacing w:after="0" w:line="172" w:lineRule="exact"/>
              <w:rPr>
                <w:sz w:val="20"/>
                <w:szCs w:val="20"/>
                <w:color w:val="auto"/>
              </w:rPr>
            </w:pPr>
            <w:r>
              <w:rPr>
                <w:rFonts w:ascii="宋体" w:cs="宋体" w:eastAsia="宋体" w:hAnsi="宋体"/>
                <w:sz w:val="15"/>
                <w:szCs w:val="15"/>
                <w:color w:val="auto"/>
              </w:rPr>
              <w:t>为既往阳性对照药</w:t>
            </w:r>
          </w:p>
        </w:tc>
        <w:tc>
          <w:tcPr>
            <w:tcW w:w="0" w:type="dxa"/>
            <w:vAlign w:val="bottom"/>
          </w:tcPr>
          <w:p>
            <w:pPr>
              <w:spacing w:after="0"/>
              <w:rPr>
                <w:sz w:val="1"/>
                <w:szCs w:val="1"/>
                <w:color w:val="auto"/>
              </w:rPr>
            </w:pPr>
          </w:p>
        </w:tc>
      </w:tr>
      <w:tr>
        <w:trPr>
          <w:trHeight w:val="149"/>
        </w:trPr>
        <w:tc>
          <w:tcPr>
            <w:tcW w:w="2080" w:type="dxa"/>
            <w:vAlign w:val="bottom"/>
            <w:gridSpan w:val="2"/>
            <w:vMerge w:val="continue"/>
          </w:tcPr>
          <w:p>
            <w:pPr>
              <w:spacing w:after="0"/>
              <w:rPr>
                <w:sz w:val="12"/>
                <w:szCs w:val="12"/>
                <w:color w:val="auto"/>
              </w:rPr>
            </w:pPr>
          </w:p>
        </w:tc>
        <w:tc>
          <w:tcPr>
            <w:tcW w:w="200" w:type="dxa"/>
            <w:vAlign w:val="bottom"/>
            <w:tcBorders>
              <w:right w:val="single" w:sz="8" w:color="auto"/>
            </w:tcBorders>
          </w:tcPr>
          <w:p>
            <w:pPr>
              <w:spacing w:after="0"/>
              <w:rPr>
                <w:sz w:val="12"/>
                <w:szCs w:val="12"/>
                <w:color w:val="auto"/>
              </w:rPr>
            </w:pPr>
          </w:p>
        </w:tc>
        <w:tc>
          <w:tcPr>
            <w:tcW w:w="320" w:type="dxa"/>
            <w:vAlign w:val="bottom"/>
          </w:tcPr>
          <w:p>
            <w:pPr>
              <w:spacing w:after="0"/>
              <w:rPr>
                <w:sz w:val="12"/>
                <w:szCs w:val="12"/>
                <w:color w:val="auto"/>
              </w:rPr>
            </w:pPr>
          </w:p>
        </w:tc>
        <w:tc>
          <w:tcPr>
            <w:tcW w:w="20" w:type="dxa"/>
            <w:vAlign w:val="bottom"/>
          </w:tcPr>
          <w:p>
            <w:pPr>
              <w:spacing w:after="0"/>
              <w:rPr>
                <w:sz w:val="12"/>
                <w:szCs w:val="12"/>
                <w:color w:val="auto"/>
              </w:rPr>
            </w:pPr>
          </w:p>
        </w:tc>
        <w:tc>
          <w:tcPr>
            <w:tcW w:w="20" w:type="dxa"/>
            <w:vAlign w:val="bottom"/>
          </w:tcPr>
          <w:p>
            <w:pPr>
              <w:spacing w:after="0"/>
              <w:rPr>
                <w:sz w:val="12"/>
                <w:szCs w:val="12"/>
                <w:color w:val="auto"/>
              </w:rPr>
            </w:pPr>
          </w:p>
        </w:tc>
        <w:tc>
          <w:tcPr>
            <w:tcW w:w="380" w:type="dxa"/>
            <w:vAlign w:val="bottom"/>
            <w:gridSpan w:val="2"/>
            <w:vMerge w:val="continue"/>
          </w:tcPr>
          <w:p>
            <w:pPr>
              <w:spacing w:after="0"/>
              <w:rPr>
                <w:sz w:val="12"/>
                <w:szCs w:val="12"/>
                <w:color w:val="auto"/>
              </w:rPr>
            </w:pPr>
          </w:p>
        </w:tc>
        <w:tc>
          <w:tcPr>
            <w:tcW w:w="1580" w:type="dxa"/>
            <w:vAlign w:val="bottom"/>
            <w:gridSpan w:val="3"/>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74"/>
        </w:trPr>
        <w:tc>
          <w:tcPr>
            <w:tcW w:w="2080" w:type="dxa"/>
            <w:vAlign w:val="bottom"/>
            <w:gridSpan w:val="2"/>
            <w:vMerge w:val="restart"/>
          </w:tcPr>
          <w:p>
            <w:pPr>
              <w:ind w:left="420"/>
              <w:spacing w:after="0" w:line="183" w:lineRule="exact"/>
              <w:rPr>
                <w:sz w:val="20"/>
                <w:szCs w:val="20"/>
                <w:color w:val="auto"/>
              </w:rPr>
            </w:pPr>
            <w:r>
              <w:rPr>
                <w:rFonts w:ascii="Times New Roman" w:cs="Times New Roman" w:eastAsia="Times New Roman" w:hAnsi="Times New Roman"/>
                <w:sz w:val="15"/>
                <w:szCs w:val="15"/>
                <w:i w:val="1"/>
                <w:iCs w:val="1"/>
                <w:color w:val="auto"/>
              </w:rPr>
              <w:t>T</w:t>
            </w:r>
            <w:r>
              <w:rPr>
                <w:rFonts w:ascii="宋体" w:cs="宋体" w:eastAsia="宋体" w:hAnsi="宋体"/>
                <w:sz w:val="15"/>
                <w:szCs w:val="15"/>
                <w:color w:val="auto"/>
              </w:rPr>
              <w:t>－</w:t>
            </w:r>
            <w:r>
              <w:rPr>
                <w:rFonts w:ascii="Times New Roman" w:cs="Times New Roman" w:eastAsia="Times New Roman" w:hAnsi="Times New Roman"/>
                <w:sz w:val="15"/>
                <w:szCs w:val="15"/>
                <w:i w:val="1"/>
                <w:iCs w:val="1"/>
                <w:color w:val="auto"/>
              </w:rPr>
              <w:t xml:space="preserve">C </w:t>
            </w:r>
            <w:r>
              <w:rPr>
                <w:rFonts w:ascii="宋体" w:cs="宋体" w:eastAsia="宋体" w:hAnsi="宋体"/>
                <w:sz w:val="15"/>
                <w:szCs w:val="15"/>
                <w:color w:val="auto"/>
              </w:rPr>
              <w:t>的</w:t>
            </w:r>
            <w:r>
              <w:rPr>
                <w:rFonts w:ascii="Times New Roman" w:cs="Times New Roman" w:eastAsia="Times New Roman" w:hAnsi="Times New Roman"/>
                <w:sz w:val="15"/>
                <w:szCs w:val="15"/>
                <w:i w:val="1"/>
                <w:iCs w:val="1"/>
                <w:color w:val="auto"/>
              </w:rPr>
              <w:t xml:space="preserve"> </w:t>
            </w:r>
            <w:r>
              <w:rPr>
                <w:rFonts w:ascii="Times New Roman" w:cs="Times New Roman" w:eastAsia="Times New Roman" w:hAnsi="Times New Roman"/>
                <w:sz w:val="15"/>
                <w:szCs w:val="15"/>
                <w:color w:val="auto"/>
              </w:rPr>
              <w:t>95%</w:t>
            </w:r>
            <w:r>
              <w:rPr>
                <w:rFonts w:ascii="Times New Roman" w:cs="Times New Roman" w:eastAsia="Times New Roman" w:hAnsi="Times New Roman"/>
                <w:sz w:val="15"/>
                <w:szCs w:val="15"/>
                <w:i w:val="1"/>
                <w:iCs w:val="1"/>
                <w:color w:val="auto"/>
              </w:rPr>
              <w:t xml:space="preserve"> CI</w:t>
            </w:r>
          </w:p>
        </w:tc>
        <w:tc>
          <w:tcPr>
            <w:tcW w:w="20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20" w:type="dxa"/>
            <w:vAlign w:val="bottom"/>
          </w:tcPr>
          <w:p>
            <w:pPr>
              <w:spacing w:after="0"/>
              <w:rPr>
                <w:sz w:val="6"/>
                <w:szCs w:val="6"/>
                <w:color w:val="auto"/>
              </w:rPr>
            </w:pPr>
          </w:p>
        </w:tc>
        <w:tc>
          <w:tcPr>
            <w:tcW w:w="20" w:type="dxa"/>
            <w:vAlign w:val="bottom"/>
          </w:tcPr>
          <w:p>
            <w:pPr>
              <w:spacing w:after="0"/>
              <w:rPr>
                <w:sz w:val="6"/>
                <w:szCs w:val="6"/>
                <w:color w:val="auto"/>
              </w:rPr>
            </w:pPr>
          </w:p>
        </w:tc>
        <w:tc>
          <w:tcPr>
            <w:tcW w:w="380" w:type="dxa"/>
            <w:vAlign w:val="bottom"/>
            <w:gridSpan w:val="2"/>
            <w:vMerge w:val="continue"/>
          </w:tcPr>
          <w:p>
            <w:pPr>
              <w:spacing w:after="0"/>
              <w:rPr>
                <w:sz w:val="6"/>
                <w:szCs w:val="6"/>
                <w:color w:val="auto"/>
              </w:rPr>
            </w:pPr>
          </w:p>
        </w:tc>
        <w:tc>
          <w:tcPr>
            <w:tcW w:w="1580" w:type="dxa"/>
            <w:vAlign w:val="bottom"/>
            <w:gridSpan w:val="3"/>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30"/>
        </w:trPr>
        <w:tc>
          <w:tcPr>
            <w:tcW w:w="2080" w:type="dxa"/>
            <w:vAlign w:val="bottom"/>
            <w:gridSpan w:val="2"/>
            <w:vMerge w:val="continue"/>
          </w:tcPr>
          <w:p>
            <w:pPr>
              <w:spacing w:after="0"/>
              <w:rPr>
                <w:sz w:val="11"/>
                <w:szCs w:val="11"/>
                <w:color w:val="auto"/>
              </w:rPr>
            </w:pPr>
          </w:p>
        </w:tc>
        <w:tc>
          <w:tcPr>
            <w:tcW w:w="200" w:type="dxa"/>
            <w:vAlign w:val="bottom"/>
            <w:tcBorders>
              <w:right w:val="single" w:sz="8" w:color="auto"/>
            </w:tcBorders>
          </w:tcPr>
          <w:p>
            <w:pPr>
              <w:spacing w:after="0"/>
              <w:rPr>
                <w:sz w:val="11"/>
                <w:szCs w:val="11"/>
                <w:color w:val="auto"/>
              </w:rPr>
            </w:pPr>
          </w:p>
        </w:tc>
        <w:tc>
          <w:tcPr>
            <w:tcW w:w="320" w:type="dxa"/>
            <w:vAlign w:val="bottom"/>
          </w:tcPr>
          <w:p>
            <w:pPr>
              <w:spacing w:after="0"/>
              <w:rPr>
                <w:sz w:val="11"/>
                <w:szCs w:val="11"/>
                <w:color w:val="auto"/>
              </w:rPr>
            </w:pPr>
          </w:p>
        </w:tc>
        <w:tc>
          <w:tcPr>
            <w:tcW w:w="20" w:type="dxa"/>
            <w:vAlign w:val="bottom"/>
          </w:tcPr>
          <w:p>
            <w:pPr>
              <w:spacing w:after="0"/>
              <w:rPr>
                <w:sz w:val="11"/>
                <w:szCs w:val="11"/>
                <w:color w:val="auto"/>
              </w:rPr>
            </w:pPr>
          </w:p>
        </w:tc>
        <w:tc>
          <w:tcPr>
            <w:tcW w:w="20" w:type="dxa"/>
            <w:vAlign w:val="bottom"/>
          </w:tcPr>
          <w:p>
            <w:pPr>
              <w:spacing w:after="0"/>
              <w:rPr>
                <w:sz w:val="11"/>
                <w:szCs w:val="11"/>
                <w:color w:val="auto"/>
              </w:rPr>
            </w:pPr>
          </w:p>
        </w:tc>
        <w:tc>
          <w:tcPr>
            <w:tcW w:w="1960" w:type="dxa"/>
            <w:vAlign w:val="bottom"/>
            <w:gridSpan w:val="5"/>
            <w:vMerge w:val="restart"/>
          </w:tcPr>
          <w:p>
            <w:pPr>
              <w:ind w:left="180"/>
              <w:spacing w:after="0" w:line="172" w:lineRule="exact"/>
              <w:rPr>
                <w:sz w:val="20"/>
                <w:szCs w:val="20"/>
                <w:color w:val="auto"/>
              </w:rPr>
            </w:pPr>
            <w:r>
              <w:rPr>
                <w:rFonts w:ascii="宋体" w:cs="宋体" w:eastAsia="宋体" w:hAnsi="宋体"/>
                <w:sz w:val="15"/>
                <w:szCs w:val="15"/>
                <w:color w:val="auto"/>
              </w:rPr>
              <w:t>与安慰剂的优效试验中</w:t>
            </w:r>
          </w:p>
        </w:tc>
        <w:tc>
          <w:tcPr>
            <w:tcW w:w="0" w:type="dxa"/>
            <w:vAlign w:val="bottom"/>
          </w:tcPr>
          <w:p>
            <w:pPr>
              <w:spacing w:after="0"/>
              <w:rPr>
                <w:sz w:val="1"/>
                <w:szCs w:val="1"/>
                <w:color w:val="auto"/>
              </w:rPr>
            </w:pPr>
          </w:p>
        </w:tc>
      </w:tr>
      <w:tr>
        <w:trPr>
          <w:trHeight w:val="50"/>
        </w:trPr>
        <w:tc>
          <w:tcPr>
            <w:tcW w:w="1220" w:type="dxa"/>
            <w:vAlign w:val="bottom"/>
          </w:tcPr>
          <w:p>
            <w:pPr>
              <w:spacing w:after="0"/>
              <w:rPr>
                <w:sz w:val="4"/>
                <w:szCs w:val="4"/>
                <w:color w:val="auto"/>
              </w:rPr>
            </w:pPr>
          </w:p>
        </w:tc>
        <w:tc>
          <w:tcPr>
            <w:tcW w:w="860" w:type="dxa"/>
            <w:vAlign w:val="bottom"/>
          </w:tcPr>
          <w:p>
            <w:pPr>
              <w:spacing w:after="0"/>
              <w:rPr>
                <w:sz w:val="4"/>
                <w:szCs w:val="4"/>
                <w:color w:val="auto"/>
              </w:rPr>
            </w:pPr>
          </w:p>
        </w:tc>
        <w:tc>
          <w:tcPr>
            <w:tcW w:w="200" w:type="dxa"/>
            <w:vAlign w:val="bottom"/>
            <w:tcBorders>
              <w:right w:val="single" w:sz="8" w:color="auto"/>
            </w:tcBorders>
          </w:tcPr>
          <w:p>
            <w:pPr>
              <w:spacing w:after="0"/>
              <w:rPr>
                <w:sz w:val="4"/>
                <w:szCs w:val="4"/>
                <w:color w:val="auto"/>
              </w:rPr>
            </w:pPr>
          </w:p>
        </w:tc>
        <w:tc>
          <w:tcPr>
            <w:tcW w:w="320" w:type="dxa"/>
            <w:vAlign w:val="bottom"/>
          </w:tcPr>
          <w:p>
            <w:pPr>
              <w:spacing w:after="0"/>
              <w:rPr>
                <w:sz w:val="4"/>
                <w:szCs w:val="4"/>
                <w:color w:val="auto"/>
              </w:rPr>
            </w:pPr>
          </w:p>
        </w:tc>
        <w:tc>
          <w:tcPr>
            <w:tcW w:w="20" w:type="dxa"/>
            <w:vAlign w:val="bottom"/>
          </w:tcPr>
          <w:p>
            <w:pPr>
              <w:spacing w:after="0"/>
              <w:rPr>
                <w:sz w:val="4"/>
                <w:szCs w:val="4"/>
                <w:color w:val="auto"/>
              </w:rPr>
            </w:pPr>
          </w:p>
        </w:tc>
        <w:tc>
          <w:tcPr>
            <w:tcW w:w="20" w:type="dxa"/>
            <w:vAlign w:val="bottom"/>
          </w:tcPr>
          <w:p>
            <w:pPr>
              <w:spacing w:after="0"/>
              <w:rPr>
                <w:sz w:val="4"/>
                <w:szCs w:val="4"/>
                <w:color w:val="auto"/>
              </w:rPr>
            </w:pPr>
          </w:p>
        </w:tc>
        <w:tc>
          <w:tcPr>
            <w:tcW w:w="1960" w:type="dxa"/>
            <w:vAlign w:val="bottom"/>
            <w:gridSpan w:val="5"/>
            <w:vMerge w:val="continue"/>
          </w:tcPr>
          <w:p>
            <w:pPr>
              <w:spacing w:after="0"/>
              <w:rPr>
                <w:sz w:val="4"/>
                <w:szCs w:val="4"/>
                <w:color w:val="auto"/>
              </w:rPr>
            </w:pPr>
          </w:p>
        </w:tc>
        <w:tc>
          <w:tcPr>
            <w:tcW w:w="0" w:type="dxa"/>
            <w:vAlign w:val="bottom"/>
          </w:tcPr>
          <w:p>
            <w:pPr>
              <w:spacing w:after="0"/>
              <w:rPr>
                <w:sz w:val="1"/>
                <w:szCs w:val="1"/>
                <w:color w:val="auto"/>
              </w:rPr>
            </w:pPr>
          </w:p>
        </w:tc>
      </w:tr>
      <w:tr>
        <w:trPr>
          <w:trHeight w:val="96"/>
        </w:trPr>
        <w:tc>
          <w:tcPr>
            <w:tcW w:w="1220" w:type="dxa"/>
            <w:vAlign w:val="bottom"/>
          </w:tcPr>
          <w:p>
            <w:pPr>
              <w:spacing w:after="0"/>
              <w:rPr>
                <w:sz w:val="8"/>
                <w:szCs w:val="8"/>
                <w:color w:val="auto"/>
              </w:rPr>
            </w:pPr>
          </w:p>
        </w:tc>
        <w:tc>
          <w:tcPr>
            <w:tcW w:w="86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320" w:type="dxa"/>
            <w:vAlign w:val="bottom"/>
            <w:vMerge w:val="restart"/>
          </w:tcPr>
          <w:p>
            <w:pPr>
              <w:spacing w:after="0"/>
              <w:rPr>
                <w:sz w:val="8"/>
                <w:szCs w:val="8"/>
                <w:color w:val="auto"/>
              </w:rPr>
            </w:pPr>
          </w:p>
        </w:tc>
        <w:tc>
          <w:tcPr>
            <w:tcW w:w="20" w:type="dxa"/>
            <w:vAlign w:val="bottom"/>
            <w:vMerge w:val="restart"/>
          </w:tcPr>
          <w:p>
            <w:pPr>
              <w:spacing w:after="0"/>
              <w:rPr>
                <w:sz w:val="8"/>
                <w:szCs w:val="8"/>
                <w:color w:val="auto"/>
              </w:rPr>
            </w:pPr>
          </w:p>
        </w:tc>
        <w:tc>
          <w:tcPr>
            <w:tcW w:w="20" w:type="dxa"/>
            <w:vAlign w:val="bottom"/>
          </w:tcPr>
          <w:p>
            <w:pPr>
              <w:spacing w:after="0"/>
              <w:rPr>
                <w:sz w:val="8"/>
                <w:szCs w:val="8"/>
                <w:color w:val="auto"/>
              </w:rPr>
            </w:pPr>
          </w:p>
        </w:tc>
        <w:tc>
          <w:tcPr>
            <w:tcW w:w="1960" w:type="dxa"/>
            <w:vAlign w:val="bottom"/>
            <w:gridSpan w:val="5"/>
            <w:vMerge w:val="restart"/>
          </w:tcPr>
          <w:p>
            <w:pPr>
              <w:ind w:left="180"/>
              <w:spacing w:after="0" w:line="183" w:lineRule="exact"/>
              <w:rPr>
                <w:sz w:val="20"/>
                <w:szCs w:val="20"/>
                <w:color w:val="auto"/>
              </w:rPr>
            </w:pPr>
            <w:r>
              <w:rPr>
                <w:rFonts w:ascii="Times New Roman" w:cs="Times New Roman" w:eastAsia="Times New Roman" w:hAnsi="Times New Roman"/>
                <w:sz w:val="15"/>
                <w:szCs w:val="15"/>
                <w:i w:val="1"/>
                <w:iCs w:val="1"/>
                <w:color w:val="auto"/>
              </w:rPr>
              <w:t>C</w:t>
            </w:r>
            <w:r>
              <w:rPr>
                <w:rFonts w:ascii="宋体" w:cs="宋体" w:eastAsia="宋体" w:hAnsi="宋体"/>
                <w:sz w:val="15"/>
                <w:szCs w:val="15"/>
                <w:color w:val="auto"/>
              </w:rPr>
              <w:t>－</w:t>
            </w:r>
            <w:r>
              <w:rPr>
                <w:rFonts w:ascii="Times New Roman" w:cs="Times New Roman" w:eastAsia="Times New Roman" w:hAnsi="Times New Roman"/>
                <w:sz w:val="15"/>
                <w:szCs w:val="15"/>
                <w:i w:val="1"/>
                <w:iCs w:val="1"/>
                <w:color w:val="auto"/>
              </w:rPr>
              <w:t xml:space="preserve">P </w:t>
            </w:r>
            <w:r>
              <w:rPr>
                <w:rFonts w:ascii="宋体" w:cs="宋体" w:eastAsia="宋体" w:hAnsi="宋体"/>
                <w:sz w:val="15"/>
                <w:szCs w:val="15"/>
                <w:color w:val="auto"/>
              </w:rPr>
              <w:t>的</w:t>
            </w:r>
            <w:r>
              <w:rPr>
                <w:rFonts w:ascii="Times New Roman" w:cs="Times New Roman" w:eastAsia="Times New Roman" w:hAnsi="Times New Roman"/>
                <w:sz w:val="15"/>
                <w:szCs w:val="15"/>
                <w:i w:val="1"/>
                <w:iCs w:val="1"/>
                <w:color w:val="auto"/>
              </w:rPr>
              <w:t xml:space="preserve"> </w:t>
            </w:r>
            <w:r>
              <w:rPr>
                <w:rFonts w:ascii="Times New Roman" w:cs="Times New Roman" w:eastAsia="Times New Roman" w:hAnsi="Times New Roman"/>
                <w:sz w:val="15"/>
                <w:szCs w:val="15"/>
                <w:color w:val="auto"/>
              </w:rPr>
              <w:t>95%</w:t>
            </w:r>
            <w:r>
              <w:rPr>
                <w:rFonts w:ascii="Times New Roman" w:cs="Times New Roman" w:eastAsia="Times New Roman" w:hAnsi="Times New Roman"/>
                <w:sz w:val="15"/>
                <w:szCs w:val="15"/>
                <w:i w:val="1"/>
                <w:iCs w:val="1"/>
                <w:color w:val="auto"/>
              </w:rPr>
              <w:t xml:space="preserve"> CI </w:t>
            </w:r>
            <w:r>
              <w:rPr>
                <w:rFonts w:ascii="宋体" w:cs="宋体" w:eastAsia="宋体" w:hAnsi="宋体"/>
                <w:sz w:val="15"/>
                <w:szCs w:val="15"/>
                <w:color w:val="auto"/>
              </w:rPr>
              <w:t>上限的</w:t>
            </w:r>
          </w:p>
        </w:tc>
        <w:tc>
          <w:tcPr>
            <w:tcW w:w="0" w:type="dxa"/>
            <w:vAlign w:val="bottom"/>
          </w:tcPr>
          <w:p>
            <w:pPr>
              <w:spacing w:after="0"/>
              <w:rPr>
                <w:sz w:val="1"/>
                <w:szCs w:val="1"/>
                <w:color w:val="auto"/>
              </w:rPr>
            </w:pPr>
          </w:p>
        </w:tc>
      </w:tr>
      <w:tr>
        <w:trPr>
          <w:trHeight w:val="113"/>
        </w:trPr>
        <w:tc>
          <w:tcPr>
            <w:tcW w:w="1220" w:type="dxa"/>
            <w:vAlign w:val="bottom"/>
            <w:tcBorders>
              <w:right w:val="single" w:sz="8" w:color="auto"/>
            </w:tcBorders>
          </w:tcPr>
          <w:p>
            <w:pPr>
              <w:spacing w:after="0"/>
              <w:rPr>
                <w:sz w:val="9"/>
                <w:szCs w:val="9"/>
                <w:color w:val="auto"/>
              </w:rPr>
            </w:pPr>
          </w:p>
        </w:tc>
        <w:tc>
          <w:tcPr>
            <w:tcW w:w="860" w:type="dxa"/>
            <w:vAlign w:val="bottom"/>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320" w:type="dxa"/>
            <w:vAlign w:val="bottom"/>
            <w:vMerge w:val="continue"/>
          </w:tcPr>
          <w:p>
            <w:pPr>
              <w:spacing w:after="0"/>
              <w:rPr>
                <w:sz w:val="9"/>
                <w:szCs w:val="9"/>
                <w:color w:val="auto"/>
              </w:rPr>
            </w:pPr>
          </w:p>
        </w:tc>
        <w:tc>
          <w:tcPr>
            <w:tcW w:w="20" w:type="dxa"/>
            <w:vAlign w:val="bottom"/>
            <w:vMerge w:val="continue"/>
          </w:tcPr>
          <w:p>
            <w:pPr>
              <w:spacing w:after="0"/>
              <w:rPr>
                <w:sz w:val="9"/>
                <w:szCs w:val="9"/>
                <w:color w:val="auto"/>
              </w:rPr>
            </w:pPr>
          </w:p>
        </w:tc>
        <w:tc>
          <w:tcPr>
            <w:tcW w:w="20" w:type="dxa"/>
            <w:vAlign w:val="bottom"/>
            <w:shd w:val="clear" w:color="auto" w:fill="000000"/>
          </w:tcPr>
          <w:p>
            <w:pPr>
              <w:spacing w:after="0"/>
              <w:rPr>
                <w:sz w:val="9"/>
                <w:szCs w:val="9"/>
                <w:color w:val="auto"/>
              </w:rPr>
            </w:pPr>
          </w:p>
        </w:tc>
        <w:tc>
          <w:tcPr>
            <w:tcW w:w="1960" w:type="dxa"/>
            <w:vAlign w:val="bottom"/>
            <w:gridSpan w:val="5"/>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05"/>
        </w:trPr>
        <w:tc>
          <w:tcPr>
            <w:tcW w:w="1220" w:type="dxa"/>
            <w:vAlign w:val="bottom"/>
            <w:tcBorders>
              <w:right w:val="single" w:sz="8" w:color="auto"/>
            </w:tcBorders>
          </w:tcPr>
          <w:p>
            <w:pPr>
              <w:spacing w:after="0"/>
              <w:rPr>
                <w:sz w:val="9"/>
                <w:szCs w:val="9"/>
                <w:color w:val="auto"/>
              </w:rPr>
            </w:pPr>
          </w:p>
        </w:tc>
        <w:tc>
          <w:tcPr>
            <w:tcW w:w="860" w:type="dxa"/>
            <w:vAlign w:val="bottom"/>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320" w:type="dxa"/>
            <w:vAlign w:val="bottom"/>
          </w:tcPr>
          <w:p>
            <w:pPr>
              <w:spacing w:after="0"/>
              <w:rPr>
                <w:sz w:val="9"/>
                <w:szCs w:val="9"/>
                <w:color w:val="auto"/>
              </w:rPr>
            </w:pPr>
          </w:p>
        </w:tc>
        <w:tc>
          <w:tcPr>
            <w:tcW w:w="20" w:type="dxa"/>
            <w:vAlign w:val="bottom"/>
          </w:tcPr>
          <w:p>
            <w:pPr>
              <w:spacing w:after="0"/>
              <w:rPr>
                <w:sz w:val="9"/>
                <w:szCs w:val="9"/>
                <w:color w:val="auto"/>
              </w:rPr>
            </w:pPr>
          </w:p>
        </w:tc>
        <w:tc>
          <w:tcPr>
            <w:tcW w:w="20" w:type="dxa"/>
            <w:vAlign w:val="bottom"/>
            <w:shd w:val="clear" w:color="auto" w:fill="000000"/>
          </w:tcPr>
          <w:p>
            <w:pPr>
              <w:spacing w:after="0"/>
              <w:rPr>
                <w:sz w:val="9"/>
                <w:szCs w:val="9"/>
                <w:color w:val="auto"/>
              </w:rPr>
            </w:pPr>
          </w:p>
        </w:tc>
        <w:tc>
          <w:tcPr>
            <w:tcW w:w="1960" w:type="dxa"/>
            <w:vAlign w:val="bottom"/>
            <w:gridSpan w:val="5"/>
            <w:vMerge w:val="restart"/>
          </w:tcPr>
          <w:p>
            <w:pPr>
              <w:jc w:val="right"/>
              <w:ind w:right="1340"/>
              <w:spacing w:after="0" w:line="172" w:lineRule="exact"/>
              <w:rPr>
                <w:sz w:val="20"/>
                <w:szCs w:val="20"/>
                <w:color w:val="auto"/>
              </w:rPr>
            </w:pPr>
            <w:r>
              <w:rPr>
                <w:rFonts w:ascii="宋体" w:cs="宋体" w:eastAsia="宋体" w:hAnsi="宋体"/>
                <w:sz w:val="15"/>
                <w:szCs w:val="15"/>
                <w:color w:val="auto"/>
              </w:rPr>
              <w:t>绝对值</w:t>
            </w:r>
          </w:p>
        </w:tc>
        <w:tc>
          <w:tcPr>
            <w:tcW w:w="0" w:type="dxa"/>
            <w:vAlign w:val="bottom"/>
          </w:tcPr>
          <w:p>
            <w:pPr>
              <w:spacing w:after="0"/>
              <w:rPr>
                <w:sz w:val="1"/>
                <w:szCs w:val="1"/>
                <w:color w:val="auto"/>
              </w:rPr>
            </w:pPr>
          </w:p>
        </w:tc>
      </w:tr>
      <w:tr>
        <w:trPr>
          <w:trHeight w:val="79"/>
        </w:trPr>
        <w:tc>
          <w:tcPr>
            <w:tcW w:w="1220" w:type="dxa"/>
            <w:vAlign w:val="bottom"/>
          </w:tcPr>
          <w:p>
            <w:pPr>
              <w:spacing w:after="0"/>
              <w:rPr>
                <w:sz w:val="6"/>
                <w:szCs w:val="6"/>
                <w:color w:val="auto"/>
              </w:rPr>
            </w:pPr>
          </w:p>
        </w:tc>
        <w:tc>
          <w:tcPr>
            <w:tcW w:w="860" w:type="dxa"/>
            <w:vAlign w:val="bottom"/>
          </w:tcPr>
          <w:p>
            <w:pPr>
              <w:spacing w:after="0"/>
              <w:rPr>
                <w:sz w:val="6"/>
                <w:szCs w:val="6"/>
                <w:color w:val="auto"/>
              </w:rPr>
            </w:pPr>
          </w:p>
        </w:tc>
        <w:tc>
          <w:tcPr>
            <w:tcW w:w="200" w:type="dxa"/>
            <w:vAlign w:val="bottom"/>
            <w:tcBorders>
              <w:right w:val="single" w:sz="8" w:color="auto"/>
            </w:tcBorders>
          </w:tcPr>
          <w:p>
            <w:pPr>
              <w:spacing w:after="0"/>
              <w:rPr>
                <w:sz w:val="6"/>
                <w:szCs w:val="6"/>
                <w:color w:val="auto"/>
              </w:rPr>
            </w:pPr>
          </w:p>
        </w:tc>
        <w:tc>
          <w:tcPr>
            <w:tcW w:w="320" w:type="dxa"/>
            <w:vAlign w:val="bottom"/>
          </w:tcPr>
          <w:p>
            <w:pPr>
              <w:spacing w:after="0"/>
              <w:rPr>
                <w:sz w:val="6"/>
                <w:szCs w:val="6"/>
                <w:color w:val="auto"/>
              </w:rPr>
            </w:pPr>
          </w:p>
        </w:tc>
        <w:tc>
          <w:tcPr>
            <w:tcW w:w="20" w:type="dxa"/>
            <w:vAlign w:val="bottom"/>
          </w:tcPr>
          <w:p>
            <w:pPr>
              <w:spacing w:after="0"/>
              <w:rPr>
                <w:sz w:val="6"/>
                <w:szCs w:val="6"/>
                <w:color w:val="auto"/>
              </w:rPr>
            </w:pPr>
          </w:p>
        </w:tc>
        <w:tc>
          <w:tcPr>
            <w:tcW w:w="20" w:type="dxa"/>
            <w:vAlign w:val="bottom"/>
          </w:tcPr>
          <w:p>
            <w:pPr>
              <w:spacing w:after="0"/>
              <w:rPr>
                <w:sz w:val="6"/>
                <w:szCs w:val="6"/>
                <w:color w:val="auto"/>
              </w:rPr>
            </w:pPr>
          </w:p>
        </w:tc>
        <w:tc>
          <w:tcPr>
            <w:tcW w:w="1960" w:type="dxa"/>
            <w:vAlign w:val="bottom"/>
            <w:gridSpan w:val="5"/>
            <w:vMerge w:val="continue"/>
          </w:tcPr>
          <w:p>
            <w:pPr>
              <w:spacing w:after="0"/>
              <w:rPr>
                <w:sz w:val="6"/>
                <w:szCs w:val="6"/>
                <w:color w:val="auto"/>
              </w:rPr>
            </w:pPr>
          </w:p>
        </w:tc>
        <w:tc>
          <w:tcPr>
            <w:tcW w:w="0" w:type="dxa"/>
            <w:vAlign w:val="bottom"/>
          </w:tcPr>
          <w:p>
            <w:pPr>
              <w:spacing w:after="0"/>
              <w:rPr>
                <w:sz w:val="1"/>
                <w:szCs w:val="1"/>
                <w:color w:val="auto"/>
              </w:rPr>
            </w:pPr>
          </w:p>
        </w:tc>
      </w:tr>
      <w:tr>
        <w:trPr>
          <w:trHeight w:val="303"/>
        </w:trPr>
        <w:tc>
          <w:tcPr>
            <w:tcW w:w="122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200" w:type="dxa"/>
            <w:vAlign w:val="bottom"/>
            <w:tcBorders>
              <w:right w:val="single" w:sz="8" w:color="auto"/>
            </w:tcBorders>
          </w:tcPr>
          <w:p>
            <w:pPr>
              <w:spacing w:after="0"/>
              <w:rPr>
                <w:sz w:val="24"/>
                <w:szCs w:val="24"/>
                <w:color w:val="auto"/>
              </w:rPr>
            </w:pPr>
          </w:p>
        </w:tc>
        <w:tc>
          <w:tcPr>
            <w:tcW w:w="2320" w:type="dxa"/>
            <w:vAlign w:val="bottom"/>
            <w:gridSpan w:val="8"/>
          </w:tcPr>
          <w:p>
            <w:pPr>
              <w:jc w:val="right"/>
              <w:ind w:right="1340"/>
              <w:spacing w:after="0" w:line="172" w:lineRule="exact"/>
              <w:rPr>
                <w:sz w:val="20"/>
                <w:szCs w:val="20"/>
                <w:color w:val="auto"/>
              </w:rPr>
            </w:pPr>
            <w:r>
              <w:rPr>
                <w:rFonts w:ascii="宋体" w:cs="宋体" w:eastAsia="宋体" w:hAnsi="宋体"/>
                <w:sz w:val="15"/>
                <w:szCs w:val="15"/>
                <w:color w:val="auto"/>
              </w:rPr>
              <w:t>非劣效界值</w:t>
            </w:r>
          </w:p>
        </w:tc>
        <w:tc>
          <w:tcPr>
            <w:tcW w:w="0" w:type="dxa"/>
            <w:vAlign w:val="bottom"/>
          </w:tcPr>
          <w:p>
            <w:pPr>
              <w:spacing w:after="0"/>
              <w:rPr>
                <w:sz w:val="1"/>
                <w:szCs w:val="1"/>
                <w:color w:val="auto"/>
              </w:rPr>
            </w:pPr>
          </w:p>
        </w:tc>
      </w:tr>
      <w:tr>
        <w:trPr>
          <w:trHeight w:val="97"/>
        </w:trPr>
        <w:tc>
          <w:tcPr>
            <w:tcW w:w="1220" w:type="dxa"/>
            <w:vAlign w:val="bottom"/>
          </w:tcPr>
          <w:p>
            <w:pPr>
              <w:spacing w:after="0"/>
              <w:rPr>
                <w:sz w:val="8"/>
                <w:szCs w:val="8"/>
                <w:color w:val="auto"/>
              </w:rPr>
            </w:pPr>
          </w:p>
        </w:tc>
        <w:tc>
          <w:tcPr>
            <w:tcW w:w="86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320" w:type="dxa"/>
            <w:vAlign w:val="bottom"/>
          </w:tcPr>
          <w:p>
            <w:pPr>
              <w:spacing w:after="0"/>
              <w:rPr>
                <w:sz w:val="8"/>
                <w:szCs w:val="8"/>
                <w:color w:val="auto"/>
              </w:rPr>
            </w:pPr>
          </w:p>
        </w:tc>
        <w:tc>
          <w:tcPr>
            <w:tcW w:w="20" w:type="dxa"/>
            <w:vAlign w:val="bottom"/>
          </w:tcPr>
          <w:p>
            <w:pPr>
              <w:spacing w:after="0"/>
              <w:rPr>
                <w:sz w:val="8"/>
                <w:szCs w:val="8"/>
                <w:color w:val="auto"/>
              </w:rPr>
            </w:pPr>
          </w:p>
        </w:tc>
        <w:tc>
          <w:tcPr>
            <w:tcW w:w="20" w:type="dxa"/>
            <w:vAlign w:val="bottom"/>
          </w:tcPr>
          <w:p>
            <w:pPr>
              <w:spacing w:after="0"/>
              <w:rPr>
                <w:sz w:val="8"/>
                <w:szCs w:val="8"/>
                <w:color w:val="auto"/>
              </w:rPr>
            </w:pPr>
          </w:p>
        </w:tc>
        <w:tc>
          <w:tcPr>
            <w:tcW w:w="380" w:type="dxa"/>
            <w:vAlign w:val="bottom"/>
            <w:gridSpan w:val="2"/>
          </w:tcPr>
          <w:p>
            <w:pPr>
              <w:spacing w:after="0"/>
              <w:rPr>
                <w:sz w:val="8"/>
                <w:szCs w:val="8"/>
                <w:color w:val="auto"/>
              </w:rPr>
            </w:pPr>
          </w:p>
        </w:tc>
        <w:tc>
          <w:tcPr>
            <w:tcW w:w="140" w:type="dxa"/>
            <w:vAlign w:val="bottom"/>
          </w:tcPr>
          <w:p>
            <w:pPr>
              <w:spacing w:after="0"/>
              <w:rPr>
                <w:sz w:val="8"/>
                <w:szCs w:val="8"/>
                <w:color w:val="auto"/>
              </w:rPr>
            </w:pPr>
          </w:p>
        </w:tc>
        <w:tc>
          <w:tcPr>
            <w:tcW w:w="380" w:type="dxa"/>
            <w:vAlign w:val="bottom"/>
          </w:tcPr>
          <w:p>
            <w:pPr>
              <w:spacing w:after="0"/>
              <w:rPr>
                <w:sz w:val="8"/>
                <w:szCs w:val="8"/>
                <w:color w:val="auto"/>
              </w:rPr>
            </w:pPr>
          </w:p>
        </w:tc>
        <w:tc>
          <w:tcPr>
            <w:tcW w:w="106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36"/>
        </w:trPr>
        <w:tc>
          <w:tcPr>
            <w:tcW w:w="1220" w:type="dxa"/>
            <w:vAlign w:val="bottom"/>
            <w:tcBorders>
              <w:bottom w:val="single" w:sz="8" w:color="auto"/>
            </w:tcBorders>
          </w:tcPr>
          <w:p>
            <w:pPr>
              <w:spacing w:after="0"/>
              <w:rPr>
                <w:sz w:val="11"/>
                <w:szCs w:val="11"/>
                <w:color w:val="auto"/>
              </w:rPr>
            </w:pPr>
          </w:p>
        </w:tc>
        <w:tc>
          <w:tcPr>
            <w:tcW w:w="860" w:type="dxa"/>
            <w:vAlign w:val="bottom"/>
            <w:tcBorders>
              <w:bottom w:val="single" w:sz="8" w:color="auto"/>
            </w:tcBorders>
          </w:tcPr>
          <w:p>
            <w:pPr>
              <w:spacing w:after="0"/>
              <w:rPr>
                <w:sz w:val="11"/>
                <w:szCs w:val="11"/>
                <w:color w:val="auto"/>
              </w:rPr>
            </w:pPr>
          </w:p>
        </w:tc>
        <w:tc>
          <w:tcPr>
            <w:tcW w:w="200" w:type="dxa"/>
            <w:vAlign w:val="bottom"/>
            <w:tcBorders>
              <w:bottom w:val="single" w:sz="8" w:color="auto"/>
            </w:tcBorders>
          </w:tcPr>
          <w:p>
            <w:pPr>
              <w:spacing w:after="0"/>
              <w:rPr>
                <w:sz w:val="11"/>
                <w:szCs w:val="11"/>
                <w:color w:val="auto"/>
              </w:rPr>
            </w:pPr>
          </w:p>
        </w:tc>
        <w:tc>
          <w:tcPr>
            <w:tcW w:w="320" w:type="dxa"/>
            <w:vAlign w:val="bottom"/>
            <w:tcBorders>
              <w:bottom w:val="single" w:sz="8" w:color="auto"/>
            </w:tcBorders>
          </w:tcPr>
          <w:p>
            <w:pPr>
              <w:spacing w:after="0"/>
              <w:rPr>
                <w:sz w:val="11"/>
                <w:szCs w:val="11"/>
                <w:color w:val="auto"/>
              </w:rPr>
            </w:pPr>
          </w:p>
        </w:tc>
        <w:tc>
          <w:tcPr>
            <w:tcW w:w="20" w:type="dxa"/>
            <w:vAlign w:val="bottom"/>
            <w:tcBorders>
              <w:bottom w:val="single" w:sz="8" w:color="auto"/>
            </w:tcBorders>
          </w:tcPr>
          <w:p>
            <w:pPr>
              <w:spacing w:after="0"/>
              <w:rPr>
                <w:sz w:val="11"/>
                <w:szCs w:val="11"/>
                <w:color w:val="auto"/>
              </w:rPr>
            </w:pPr>
          </w:p>
        </w:tc>
        <w:tc>
          <w:tcPr>
            <w:tcW w:w="20" w:type="dxa"/>
            <w:vAlign w:val="bottom"/>
            <w:tcBorders>
              <w:bottom w:val="single" w:sz="8" w:color="auto"/>
            </w:tcBorders>
          </w:tcPr>
          <w:p>
            <w:pPr>
              <w:spacing w:after="0"/>
              <w:rPr>
                <w:sz w:val="11"/>
                <w:szCs w:val="11"/>
                <w:color w:val="auto"/>
              </w:rPr>
            </w:pPr>
          </w:p>
        </w:tc>
        <w:tc>
          <w:tcPr>
            <w:tcW w:w="260" w:type="dxa"/>
            <w:vAlign w:val="bottom"/>
            <w:tcBorders>
              <w:bottom w:val="single" w:sz="8" w:color="auto"/>
              <w:right w:val="single" w:sz="8" w:color="auto"/>
            </w:tcBorders>
          </w:tcPr>
          <w:p>
            <w:pPr>
              <w:spacing w:after="0"/>
              <w:rPr>
                <w:sz w:val="11"/>
                <w:szCs w:val="11"/>
                <w:color w:val="auto"/>
              </w:rPr>
            </w:pPr>
          </w:p>
        </w:tc>
        <w:tc>
          <w:tcPr>
            <w:tcW w:w="120" w:type="dxa"/>
            <w:vAlign w:val="bottom"/>
            <w:tcBorders>
              <w:bottom w:val="single" w:sz="8" w:color="auto"/>
            </w:tcBorders>
          </w:tcPr>
          <w:p>
            <w:pPr>
              <w:spacing w:after="0"/>
              <w:rPr>
                <w:sz w:val="11"/>
                <w:szCs w:val="11"/>
                <w:color w:val="auto"/>
              </w:rPr>
            </w:pPr>
          </w:p>
        </w:tc>
        <w:tc>
          <w:tcPr>
            <w:tcW w:w="140" w:type="dxa"/>
            <w:vAlign w:val="bottom"/>
            <w:tcBorders>
              <w:bottom w:val="single" w:sz="8" w:color="auto"/>
            </w:tcBorders>
          </w:tcPr>
          <w:p>
            <w:pPr>
              <w:spacing w:after="0"/>
              <w:rPr>
                <w:sz w:val="11"/>
                <w:szCs w:val="11"/>
                <w:color w:val="auto"/>
              </w:rPr>
            </w:pPr>
          </w:p>
        </w:tc>
        <w:tc>
          <w:tcPr>
            <w:tcW w:w="380" w:type="dxa"/>
            <w:vAlign w:val="bottom"/>
            <w:tcBorders>
              <w:bottom w:val="single" w:sz="8" w:color="auto"/>
              <w:right w:val="single" w:sz="8" w:color="auto"/>
            </w:tcBorders>
          </w:tcPr>
          <w:p>
            <w:pPr>
              <w:spacing w:after="0"/>
              <w:rPr>
                <w:sz w:val="11"/>
                <w:szCs w:val="11"/>
                <w:color w:val="auto"/>
              </w:rPr>
            </w:pPr>
          </w:p>
        </w:tc>
        <w:tc>
          <w:tcPr>
            <w:tcW w:w="1060" w:type="dxa"/>
            <w:vAlign w:val="bottom"/>
            <w:tcBorders>
              <w:bottom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85"/>
        </w:trPr>
        <w:tc>
          <w:tcPr>
            <w:tcW w:w="122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520" w:type="dxa"/>
            <w:vAlign w:val="bottom"/>
            <w:gridSpan w:val="2"/>
          </w:tcPr>
          <w:p>
            <w:pPr>
              <w:jc w:val="right"/>
              <w:ind w:right="206"/>
              <w:spacing w:after="0"/>
              <w:rPr>
                <w:sz w:val="20"/>
                <w:szCs w:val="20"/>
                <w:color w:val="auto"/>
              </w:rPr>
            </w:pPr>
            <w:r>
              <w:rPr>
                <w:rFonts w:ascii="Times New Roman" w:cs="Times New Roman" w:eastAsia="Times New Roman" w:hAnsi="Times New Roman"/>
                <w:sz w:val="21"/>
                <w:szCs w:val="21"/>
                <w:b w:val="1"/>
                <w:bCs w:val="1"/>
                <w:color w:val="auto"/>
              </w:rPr>
              <w:t>0</w:t>
            </w:r>
          </w:p>
        </w:tc>
        <w:tc>
          <w:tcPr>
            <w:tcW w:w="420" w:type="dxa"/>
            <w:vAlign w:val="bottom"/>
            <w:gridSpan w:val="4"/>
          </w:tcPr>
          <w:p>
            <w:pPr>
              <w:ind w:left="160"/>
              <w:spacing w:after="0"/>
              <w:rPr>
                <w:sz w:val="20"/>
                <w:szCs w:val="20"/>
                <w:color w:val="auto"/>
              </w:rPr>
            </w:pPr>
            <w:r>
              <w:rPr>
                <w:rFonts w:ascii="Times New Roman" w:cs="Times New Roman" w:eastAsia="Times New Roman" w:hAnsi="Times New Roman"/>
                <w:sz w:val="21"/>
                <w:szCs w:val="21"/>
                <w:i w:val="1"/>
                <w:iCs w:val="1"/>
                <w:color w:val="auto"/>
                <w:w w:val="99"/>
              </w:rPr>
              <w:t>M</w:t>
            </w:r>
            <w:r>
              <w:rPr>
                <w:rFonts w:ascii="Times New Roman" w:cs="Times New Roman" w:eastAsia="Times New Roman" w:hAnsi="Times New Roman"/>
                <w:sz w:val="13"/>
                <w:szCs w:val="13"/>
                <w:color w:val="auto"/>
                <w:w w:val="99"/>
              </w:rPr>
              <w:t>2</w:t>
            </w:r>
          </w:p>
        </w:tc>
        <w:tc>
          <w:tcPr>
            <w:tcW w:w="140" w:type="dxa"/>
            <w:vAlign w:val="bottom"/>
          </w:tcPr>
          <w:p>
            <w:pPr>
              <w:spacing w:after="0"/>
              <w:rPr>
                <w:sz w:val="24"/>
                <w:szCs w:val="24"/>
                <w:color w:val="auto"/>
              </w:rPr>
            </w:pPr>
          </w:p>
        </w:tc>
        <w:tc>
          <w:tcPr>
            <w:tcW w:w="1440" w:type="dxa"/>
            <w:vAlign w:val="bottom"/>
            <w:gridSpan w:val="2"/>
          </w:tcPr>
          <w:p>
            <w:pPr>
              <w:ind w:left="240"/>
              <w:spacing w:after="0"/>
              <w:rPr>
                <w:sz w:val="20"/>
                <w:szCs w:val="20"/>
                <w:color w:val="auto"/>
              </w:rPr>
            </w:pPr>
            <w:r>
              <w:rPr>
                <w:rFonts w:ascii="Times New Roman" w:cs="Times New Roman" w:eastAsia="Times New Roman" w:hAnsi="Times New Roman"/>
                <w:sz w:val="21"/>
                <w:szCs w:val="21"/>
                <w:i w:val="1"/>
                <w:iCs w:val="1"/>
                <w:color w:val="auto"/>
              </w:rPr>
              <w:t>M</w:t>
            </w:r>
            <w:r>
              <w:rPr>
                <w:rFonts w:ascii="Times New Roman" w:cs="Times New Roman" w:eastAsia="Times New Roman" w:hAnsi="Times New Roman"/>
                <w:sz w:val="13"/>
                <w:szCs w:val="13"/>
                <w:color w:val="auto"/>
              </w:rPr>
              <w:t>1</w:t>
            </w:r>
          </w:p>
        </w:tc>
        <w:tc>
          <w:tcPr>
            <w:tcW w:w="0" w:type="dxa"/>
            <w:vAlign w:val="bottom"/>
          </w:tcPr>
          <w:p>
            <w:pPr>
              <w:spacing w:after="0"/>
              <w:rPr>
                <w:sz w:val="1"/>
                <w:szCs w:val="1"/>
                <w:color w:val="auto"/>
              </w:rPr>
            </w:pPr>
          </w:p>
        </w:tc>
      </w:tr>
      <w:tr>
        <w:trPr>
          <w:trHeight w:val="36"/>
        </w:trPr>
        <w:tc>
          <w:tcPr>
            <w:tcW w:w="1220" w:type="dxa"/>
            <w:vAlign w:val="bottom"/>
          </w:tcPr>
          <w:p>
            <w:pPr>
              <w:spacing w:after="0"/>
              <w:rPr>
                <w:sz w:val="3"/>
                <w:szCs w:val="3"/>
                <w:color w:val="auto"/>
              </w:rPr>
            </w:pPr>
          </w:p>
        </w:tc>
        <w:tc>
          <w:tcPr>
            <w:tcW w:w="860" w:type="dxa"/>
            <w:vAlign w:val="bottom"/>
          </w:tcPr>
          <w:p>
            <w:pPr>
              <w:spacing w:after="0"/>
              <w:rPr>
                <w:sz w:val="3"/>
                <w:szCs w:val="3"/>
                <w:color w:val="auto"/>
              </w:rPr>
            </w:pPr>
          </w:p>
        </w:tc>
        <w:tc>
          <w:tcPr>
            <w:tcW w:w="200" w:type="dxa"/>
            <w:vAlign w:val="bottom"/>
          </w:tcPr>
          <w:p>
            <w:pPr>
              <w:spacing w:after="0"/>
              <w:rPr>
                <w:sz w:val="3"/>
                <w:szCs w:val="3"/>
                <w:color w:val="auto"/>
              </w:rPr>
            </w:pPr>
          </w:p>
        </w:tc>
        <w:tc>
          <w:tcPr>
            <w:tcW w:w="320" w:type="dxa"/>
            <w:vAlign w:val="bottom"/>
          </w:tcPr>
          <w:p>
            <w:pPr>
              <w:spacing w:after="0"/>
              <w:rPr>
                <w:sz w:val="3"/>
                <w:szCs w:val="3"/>
                <w:color w:val="auto"/>
              </w:rPr>
            </w:pPr>
          </w:p>
        </w:tc>
        <w:tc>
          <w:tcPr>
            <w:tcW w:w="20" w:type="dxa"/>
            <w:vAlign w:val="bottom"/>
          </w:tcPr>
          <w:p>
            <w:pPr>
              <w:spacing w:after="0"/>
              <w:rPr>
                <w:sz w:val="3"/>
                <w:szCs w:val="3"/>
                <w:color w:val="auto"/>
              </w:rPr>
            </w:pPr>
          </w:p>
        </w:tc>
        <w:tc>
          <w:tcPr>
            <w:tcW w:w="20" w:type="dxa"/>
            <w:vAlign w:val="bottom"/>
          </w:tcPr>
          <w:p>
            <w:pPr>
              <w:spacing w:after="0"/>
              <w:rPr>
                <w:sz w:val="3"/>
                <w:szCs w:val="3"/>
                <w:color w:val="auto"/>
              </w:rPr>
            </w:pPr>
          </w:p>
        </w:tc>
        <w:tc>
          <w:tcPr>
            <w:tcW w:w="260" w:type="dxa"/>
            <w:vAlign w:val="bottom"/>
          </w:tcPr>
          <w:p>
            <w:pPr>
              <w:spacing w:after="0"/>
              <w:rPr>
                <w:sz w:val="3"/>
                <w:szCs w:val="3"/>
                <w:color w:val="auto"/>
              </w:rPr>
            </w:pPr>
          </w:p>
        </w:tc>
        <w:tc>
          <w:tcPr>
            <w:tcW w:w="120" w:type="dxa"/>
            <w:vAlign w:val="bottom"/>
          </w:tcPr>
          <w:p>
            <w:pPr>
              <w:spacing w:after="0"/>
              <w:rPr>
                <w:sz w:val="3"/>
                <w:szCs w:val="3"/>
                <w:color w:val="auto"/>
              </w:rPr>
            </w:pPr>
          </w:p>
        </w:tc>
        <w:tc>
          <w:tcPr>
            <w:tcW w:w="140" w:type="dxa"/>
            <w:vAlign w:val="bottom"/>
          </w:tcPr>
          <w:p>
            <w:pPr>
              <w:spacing w:after="0"/>
              <w:rPr>
                <w:sz w:val="3"/>
                <w:szCs w:val="3"/>
                <w:color w:val="auto"/>
              </w:rPr>
            </w:pPr>
          </w:p>
        </w:tc>
        <w:tc>
          <w:tcPr>
            <w:tcW w:w="380" w:type="dxa"/>
            <w:vAlign w:val="bottom"/>
          </w:tcPr>
          <w:p>
            <w:pPr>
              <w:spacing w:after="0"/>
              <w:rPr>
                <w:sz w:val="3"/>
                <w:szCs w:val="3"/>
                <w:color w:val="auto"/>
              </w:rPr>
            </w:pPr>
          </w:p>
        </w:tc>
        <w:tc>
          <w:tcPr>
            <w:tcW w:w="1060" w:type="dxa"/>
            <w:vAlign w:val="bottom"/>
          </w:tcPr>
          <w:p>
            <w:pPr>
              <w:spacing w:after="0"/>
              <w:rPr>
                <w:sz w:val="3"/>
                <w:szCs w:val="3"/>
                <w:color w:val="auto"/>
              </w:rPr>
            </w:pPr>
          </w:p>
        </w:tc>
        <w:tc>
          <w:tcPr>
            <w:tcW w:w="0" w:type="dxa"/>
            <w:vAlign w:val="bottom"/>
          </w:tcPr>
          <w:p>
            <w:pPr>
              <w:spacing w:after="0" w:line="20" w:lineRule="exact"/>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-1459865</wp:posOffset>
                </wp:positionH>
                <wp:positionV relativeFrom="paragraph">
                  <wp:posOffset>80010</wp:posOffset>
                </wp:positionV>
                <wp:extent cx="5274945" cy="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2749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4.9499pt,6.3pt" to="300.4pt,6.3pt" o:allowincell="f" strokecolor="#000000" strokeweight="0.4799pt"/>
            </w:pict>
          </mc:Fallback>
        </mc:AlternateContent>
        <w:drawing>
          <wp:anchor simplePos="0" relativeHeight="251657728" behindDoc="1" locked="0" layoutInCell="0" allowOverlap="1">
            <wp:simplePos x="0" y="0"/>
            <wp:positionH relativeFrom="column">
              <wp:posOffset>784225</wp:posOffset>
            </wp:positionH>
            <wp:positionV relativeFrom="paragraph">
              <wp:posOffset>-1035685</wp:posOffset>
            </wp:positionV>
            <wp:extent cx="2083435" cy="99949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clrChange>
                        <a:clrFrom>
                          <a:srgbClr val="000000"/>
                        </a:clrFrom>
                        <a:clrTo>
                          <a:srgbClr val="000000">
                            <a:alpha val="0"/>
                          </a:srgbClr>
                        </a:clrTo>
                      </a:clrChange>
                      <a:extLst>
                        <a:ext uri="{28A0092B-C50C-407E-A947-70E740481C1C}"/>
                      </a:extLst>
                    </a:blip>
                    <a:srcRect/>
                    <a:stretch>
                      <a:fillRect/>
                    </a:stretch>
                  </pic:blipFill>
                  <pic:spPr bwMode="auto">
                    <a:xfrm>
                      <a:off x="0" y="0"/>
                      <a:ext cx="2083435" cy="999490"/>
                    </a:xfrm>
                    <a:prstGeom prst="rect">
                      <a:avLst/>
                    </a:prstGeom>
                    <a:noFill/>
                  </pic:spPr>
                </pic:pic>
              </a:graphicData>
            </a:graphic>
          </wp:anchor>
        </w:drawing>
        <w:drawing>
          <wp:anchor simplePos="0" relativeHeight="251657728" behindDoc="1" locked="0" layoutInCell="0" allowOverlap="1">
            <wp:simplePos x="0" y="0"/>
            <wp:positionH relativeFrom="column">
              <wp:posOffset>784225</wp:posOffset>
            </wp:positionH>
            <wp:positionV relativeFrom="paragraph">
              <wp:posOffset>-1035685</wp:posOffset>
            </wp:positionV>
            <wp:extent cx="2083435" cy="99949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clrChange>
                        <a:clrFrom>
                          <a:srgbClr val="FFFFFF"/>
                        </a:clrFrom>
                        <a:clrTo>
                          <a:srgbClr val="FFFFFF">
                            <a:alpha val="0"/>
                          </a:srgbClr>
                        </a:clrTo>
                      </a:clrChange>
                      <a:extLst>
                        <a:ext uri="{28A0092B-C50C-407E-A947-70E740481C1C}"/>
                      </a:extLst>
                    </a:blip>
                    <a:srcRect/>
                    <a:stretch>
                      <a:fillRect/>
                    </a:stretch>
                  </pic:blipFill>
                  <pic:spPr bwMode="auto">
                    <a:xfrm>
                      <a:off x="0" y="0"/>
                      <a:ext cx="2083435" cy="999490"/>
                    </a:xfrm>
                    <a:prstGeom prst="rect">
                      <a:avLst/>
                    </a:prstGeom>
                    <a:noFill/>
                  </pic:spPr>
                </pic:pic>
              </a:graphicData>
            </a:graphic>
          </wp:anchor>
        </w:drawing>
      </w:r>
    </w:p>
    <w:p>
      <w:pPr>
        <w:spacing w:after="0" w:line="130" w:lineRule="exact"/>
        <w:rPr>
          <w:sz w:val="20"/>
          <w:szCs w:val="20"/>
          <w:color w:val="auto"/>
        </w:rPr>
      </w:pPr>
    </w:p>
    <w:p>
      <w:pPr>
        <w:sectPr>
          <w:pgSz w:w="11900" w:h="16838" w:orient="portrait"/>
          <w:cols w:equalWidth="0" w:num="2">
            <w:col w:w="1940" w:space="720"/>
            <w:col w:w="6364"/>
          </w:cols>
          <w:pgMar w:left="1440" w:top="1440" w:right="1440" w:bottom="433" w:gutter="0" w:footer="0" w:header="0"/>
        </w:sectPr>
      </w:pPr>
    </w:p>
    <w:p>
      <w:pPr>
        <w:ind w:left="360"/>
        <w:spacing w:after="0" w:line="292" w:lineRule="exact"/>
        <w:rPr>
          <w:sz w:val="20"/>
          <w:szCs w:val="20"/>
          <w:color w:val="auto"/>
        </w:rPr>
      </w:pPr>
      <w:r>
        <w:rPr>
          <w:rFonts w:ascii="宋体" w:cs="宋体" w:eastAsia="宋体" w:hAnsi="宋体"/>
          <w:sz w:val="24"/>
          <w:szCs w:val="24"/>
          <w:color w:val="auto"/>
        </w:rPr>
        <w:t>注：</w:t>
      </w:r>
      <w:r>
        <w:rPr>
          <w:rFonts w:ascii="Times New Roman" w:cs="Times New Roman" w:eastAsia="Times New Roman" w:hAnsi="Times New Roman"/>
          <w:sz w:val="24"/>
          <w:szCs w:val="24"/>
          <w:i w:val="1"/>
          <w:iCs w:val="1"/>
          <w:color w:val="auto"/>
        </w:rPr>
        <w:t xml:space="preserve">T </w:t>
      </w:r>
      <w:r>
        <w:rPr>
          <w:rFonts w:ascii="宋体" w:cs="宋体" w:eastAsia="宋体" w:hAnsi="宋体"/>
          <w:sz w:val="24"/>
          <w:szCs w:val="24"/>
          <w:color w:val="auto"/>
        </w:rPr>
        <w:t>指试验药，</w:t>
      </w:r>
      <w:r>
        <w:rPr>
          <w:rFonts w:ascii="Times New Roman" w:cs="Times New Roman" w:eastAsia="Times New Roman" w:hAnsi="Times New Roman"/>
          <w:sz w:val="24"/>
          <w:szCs w:val="24"/>
          <w:i w:val="1"/>
          <w:iCs w:val="1"/>
          <w:color w:val="auto"/>
        </w:rPr>
        <w:t xml:space="preserve">C </w:t>
      </w:r>
      <w:r>
        <w:rPr>
          <w:rFonts w:ascii="宋体" w:cs="宋体" w:eastAsia="宋体" w:hAnsi="宋体"/>
          <w:sz w:val="24"/>
          <w:szCs w:val="24"/>
          <w:color w:val="auto"/>
        </w:rPr>
        <w:t>指阳性对照药，</w:t>
      </w:r>
      <w:r>
        <w:rPr>
          <w:rFonts w:ascii="Times New Roman" w:cs="Times New Roman" w:eastAsia="Times New Roman" w:hAnsi="Times New Roman"/>
          <w:sz w:val="24"/>
          <w:szCs w:val="24"/>
          <w:i w:val="1"/>
          <w:iCs w:val="1"/>
          <w:color w:val="auto"/>
        </w:rPr>
        <w:t xml:space="preserve">P </w:t>
      </w:r>
      <w:r>
        <w:rPr>
          <w:rFonts w:ascii="宋体" w:cs="宋体" w:eastAsia="宋体" w:hAnsi="宋体"/>
          <w:sz w:val="24"/>
          <w:szCs w:val="24"/>
          <w:color w:val="auto"/>
        </w:rPr>
        <w:t>指安慰剂，</w:t>
      </w:r>
      <w:r>
        <w:rPr>
          <w:rFonts w:ascii="Times New Roman" w:cs="Times New Roman" w:eastAsia="Times New Roman" w:hAnsi="Times New Roman"/>
          <w:sz w:val="24"/>
          <w:szCs w:val="24"/>
          <w:i w:val="1"/>
          <w:iCs w:val="1"/>
          <w:color w:val="auto"/>
        </w:rPr>
        <w:t xml:space="preserve">CI </w:t>
      </w:r>
      <w:r>
        <w:rPr>
          <w:rFonts w:ascii="宋体" w:cs="宋体" w:eastAsia="宋体" w:hAnsi="宋体"/>
          <w:sz w:val="24"/>
          <w:szCs w:val="24"/>
          <w:color w:val="auto"/>
        </w:rPr>
        <w:t>指置信区间</w:t>
      </w:r>
    </w:p>
    <w:p>
      <w:pPr>
        <w:spacing w:after="0" w:line="166" w:lineRule="exact"/>
        <w:rPr>
          <w:sz w:val="20"/>
          <w:szCs w:val="20"/>
          <w:color w:val="auto"/>
        </w:rPr>
      </w:pPr>
    </w:p>
    <w:p>
      <w:pPr>
        <w:jc w:val="center"/>
        <w:ind w:right="4"/>
        <w:spacing w:after="0" w:line="400" w:lineRule="exact"/>
        <w:tabs>
          <w:tab w:leader="none" w:pos="280" w:val="left"/>
        </w:tabs>
        <w:rPr>
          <w:sz w:val="20"/>
          <w:szCs w:val="20"/>
          <w:color w:val="auto"/>
        </w:rPr>
      </w:pPr>
      <w:r>
        <w:rPr>
          <w:rFonts w:ascii="宋体" w:cs="宋体" w:eastAsia="宋体" w:hAnsi="宋体"/>
          <w:sz w:val="32"/>
          <w:szCs w:val="32"/>
          <w:b w:val="1"/>
          <w:bCs w:val="1"/>
          <w:color w:val="auto"/>
        </w:rPr>
        <w:t>图</w:t>
      </w:r>
      <w:r>
        <w:rPr>
          <w:rFonts w:ascii="Times New Roman" w:cs="Times New Roman" w:eastAsia="Times New Roman" w:hAnsi="Times New Roman"/>
          <w:sz w:val="32"/>
          <w:szCs w:val="32"/>
          <w:b w:val="1"/>
          <w:bCs w:val="1"/>
          <w:color w:val="auto"/>
        </w:rPr>
        <w:t xml:space="preserve"> 1</w:t>
      </w:r>
      <w:r>
        <w:rPr>
          <w:sz w:val="20"/>
          <w:szCs w:val="20"/>
          <w:color w:val="auto"/>
        </w:rPr>
        <w:tab/>
      </w:r>
      <w:r>
        <w:rPr>
          <w:rFonts w:ascii="宋体" w:cs="宋体" w:eastAsia="宋体" w:hAnsi="宋体"/>
          <w:sz w:val="32"/>
          <w:szCs w:val="32"/>
          <w:b w:val="1"/>
          <w:bCs w:val="1"/>
          <w:color w:val="auto"/>
        </w:rPr>
        <w:t>绝对度量指标的非劣效界值确定过程图示</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228600</wp:posOffset>
                </wp:positionH>
                <wp:positionV relativeFrom="paragraph">
                  <wp:posOffset>944245</wp:posOffset>
                </wp:positionV>
                <wp:extent cx="5278755" cy="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2787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pt,74.35pt" to="433.65pt,74.3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231775</wp:posOffset>
                </wp:positionH>
                <wp:positionV relativeFrom="paragraph">
                  <wp:posOffset>941070</wp:posOffset>
                </wp:positionV>
                <wp:extent cx="0" cy="2978785"/>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97878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25pt,74.1pt" to="18.25pt,308.6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841375</wp:posOffset>
                </wp:positionH>
                <wp:positionV relativeFrom="paragraph">
                  <wp:posOffset>941070</wp:posOffset>
                </wp:positionV>
                <wp:extent cx="0" cy="2978785"/>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97878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6.25pt,74.1pt" to="66.25pt,308.6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5504180</wp:posOffset>
                </wp:positionH>
                <wp:positionV relativeFrom="paragraph">
                  <wp:posOffset>941070</wp:posOffset>
                </wp:positionV>
                <wp:extent cx="0" cy="2978785"/>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97878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3.4pt,74.1pt" to="433.4pt,308.65pt" o:allowincell="f" strokecolor="#000000" strokeweight="0.48pt"/>
            </w:pict>
          </mc:Fallback>
        </mc:AlternateContent>
        <w:drawing>
          <wp:anchor simplePos="0" relativeHeight="251657728" behindDoc="1" locked="0" layoutInCell="0" allowOverlap="1">
            <wp:simplePos x="0" y="0"/>
            <wp:positionH relativeFrom="column">
              <wp:posOffset>3157855</wp:posOffset>
            </wp:positionH>
            <wp:positionV relativeFrom="paragraph">
              <wp:posOffset>1056005</wp:posOffset>
            </wp:positionV>
            <wp:extent cx="1350010" cy="38989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a:clrChange>
                        <a:clrFrom>
                          <a:srgbClr val="000000"/>
                        </a:clrFrom>
                        <a:clrTo>
                          <a:srgbClr val="000000">
                            <a:alpha val="0"/>
                          </a:srgbClr>
                        </a:clrTo>
                      </a:clrChange>
                      <a:extLst>
                        <a:ext uri="{28A0092B-C50C-407E-A947-70E740481C1C}"/>
                      </a:extLst>
                    </a:blip>
                    <a:srcRect/>
                    <a:stretch>
                      <a:fillRect/>
                    </a:stretch>
                  </pic:blipFill>
                  <pic:spPr bwMode="auto">
                    <a:xfrm>
                      <a:off x="0" y="0"/>
                      <a:ext cx="1350010" cy="389890"/>
                    </a:xfrm>
                    <a:prstGeom prst="rect">
                      <a:avLst/>
                    </a:prstGeom>
                    <a:noFill/>
                  </pic:spPr>
                </pic:pic>
              </a:graphicData>
            </a:graphic>
          </wp:anchor>
        </w:drawing>
        <w:drawing>
          <wp:anchor simplePos="0" relativeHeight="251657728" behindDoc="1" locked="0" layoutInCell="0" allowOverlap="1">
            <wp:simplePos x="0" y="0"/>
            <wp:positionH relativeFrom="column">
              <wp:posOffset>3157855</wp:posOffset>
            </wp:positionH>
            <wp:positionV relativeFrom="paragraph">
              <wp:posOffset>1056005</wp:posOffset>
            </wp:positionV>
            <wp:extent cx="1350010" cy="38989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2">
                      <a:clrChange>
                        <a:clrFrom>
                          <a:srgbClr val="FFFFFF"/>
                        </a:clrFrom>
                        <a:clrTo>
                          <a:srgbClr val="FFFFFF">
                            <a:alpha val="0"/>
                          </a:srgbClr>
                        </a:clrTo>
                      </a:clrChange>
                      <a:extLst>
                        <a:ext uri="{28A0092B-C50C-407E-A947-70E740481C1C}"/>
                      </a:extLst>
                    </a:blip>
                    <a:srcRect/>
                    <a:stretch>
                      <a:fillRect/>
                    </a:stretch>
                  </pic:blipFill>
                  <pic:spPr bwMode="auto">
                    <a:xfrm>
                      <a:off x="0" y="0"/>
                      <a:ext cx="1350010" cy="389890"/>
                    </a:xfrm>
                    <a:prstGeom prst="rect">
                      <a:avLst/>
                    </a:prstGeom>
                    <a:noFill/>
                  </pic:spPr>
                </pic:pic>
              </a:graphicData>
            </a:graphic>
          </wp:anchor>
        </w:drawing>
      </w:r>
    </w:p>
    <w:p>
      <w:pPr>
        <w:sectPr>
          <w:pgSz w:w="11900" w:h="16838" w:orient="portrait"/>
          <w:cols w:equalWidth="0" w:num="1">
            <w:col w:w="9024"/>
          </w:cols>
          <w:pgMar w:left="1440" w:top="1440" w:right="1440" w:bottom="433" w:gutter="0" w:footer="0" w:header="0"/>
          <w:type w:val="continuous"/>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p>
      <w:pPr>
        <w:ind w:left="480"/>
        <w:spacing w:after="0" w:line="297" w:lineRule="exact"/>
        <w:rPr>
          <w:sz w:val="20"/>
          <w:szCs w:val="20"/>
          <w:color w:val="auto"/>
        </w:rPr>
      </w:pPr>
      <w:r>
        <w:rPr>
          <w:rFonts w:ascii="宋体" w:cs="宋体" w:eastAsia="宋体" w:hAnsi="宋体"/>
          <w:sz w:val="26"/>
          <w:szCs w:val="26"/>
          <w:color w:val="auto"/>
        </w:rPr>
        <w:t>高优</w:t>
      </w:r>
    </w:p>
    <w:p>
      <w:pPr>
        <w:spacing w:after="0" w:line="251" w:lineRule="exact"/>
        <w:rPr>
          <w:sz w:val="20"/>
          <w:szCs w:val="20"/>
          <w:color w:val="auto"/>
        </w:rPr>
      </w:pPr>
    </w:p>
    <w:p>
      <w:pPr>
        <w:ind w:left="480"/>
        <w:spacing w:after="0" w:line="297" w:lineRule="exact"/>
        <w:rPr>
          <w:sz w:val="20"/>
          <w:szCs w:val="20"/>
          <w:color w:val="auto"/>
        </w:rPr>
      </w:pPr>
      <w:r>
        <w:rPr>
          <w:rFonts w:ascii="宋体" w:cs="宋体" w:eastAsia="宋体" w:hAnsi="宋体"/>
          <w:sz w:val="26"/>
          <w:szCs w:val="26"/>
          <w:color w:val="auto"/>
        </w:rPr>
        <w:t>指标</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4" w:lineRule="exact"/>
        <w:rPr>
          <w:sz w:val="20"/>
          <w:szCs w:val="20"/>
          <w:color w:val="auto"/>
        </w:rPr>
      </w:pPr>
    </w:p>
    <w:p>
      <w:pPr>
        <w:ind w:left="480"/>
        <w:spacing w:after="0" w:line="297" w:lineRule="exact"/>
        <w:rPr>
          <w:sz w:val="20"/>
          <w:szCs w:val="20"/>
          <w:color w:val="auto"/>
        </w:rPr>
      </w:pPr>
      <w:r>
        <w:rPr>
          <w:rFonts w:ascii="宋体" w:cs="宋体" w:eastAsia="宋体" w:hAnsi="宋体"/>
          <w:sz w:val="26"/>
          <w:szCs w:val="26"/>
          <w:color w:val="auto"/>
        </w:rPr>
        <w:t>低优</w:t>
      </w:r>
    </w:p>
    <w:p>
      <w:pPr>
        <w:spacing w:after="0" w:line="251" w:lineRule="exact"/>
        <w:rPr>
          <w:sz w:val="20"/>
          <w:szCs w:val="20"/>
          <w:color w:val="auto"/>
        </w:rPr>
      </w:pPr>
    </w:p>
    <w:p>
      <w:pPr>
        <w:ind w:left="480"/>
        <w:spacing w:after="0" w:line="297" w:lineRule="exact"/>
        <w:rPr>
          <w:sz w:val="20"/>
          <w:szCs w:val="20"/>
          <w:color w:val="auto"/>
        </w:rPr>
      </w:pPr>
      <w:r>
        <w:rPr>
          <w:rFonts w:ascii="宋体" w:cs="宋体" w:eastAsia="宋体" w:hAnsi="宋体"/>
          <w:sz w:val="26"/>
          <w:szCs w:val="26"/>
          <w:color w:val="auto"/>
        </w:rPr>
        <w:t>指标</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3" w:lineRule="exact"/>
        <w:rPr>
          <w:sz w:val="20"/>
          <w:szCs w:val="20"/>
          <w:color w:val="auto"/>
        </w:rPr>
      </w:pPr>
    </w:p>
    <w:p>
      <w:pPr>
        <w:spacing w:after="0" w:line="1" w:lineRule="exact"/>
        <w:rPr>
          <w:sz w:val="1"/>
          <w:szCs w:val="1"/>
          <w:color w:val="auto"/>
        </w:rPr>
      </w:pPr>
    </w:p>
    <w:tbl>
      <w:tblPr>
        <w:tblLayout w:type="fixed"/>
        <w:tblInd w:w="0" w:type="dxa"/>
        <w:tblCellMar>
          <w:top w:w="0" w:type="dxa"/>
          <w:left w:w="0" w:type="dxa"/>
          <w:bottom w:w="0" w:type="dxa"/>
          <w:right w:w="0" w:type="dxa"/>
        </w:tblCellMar>
      </w:tblPr>
      <w:tr>
        <w:trPr>
          <w:trHeight w:val="171"/>
        </w:trPr>
        <w:tc>
          <w:tcPr>
            <w:tcW w:w="360" w:type="dxa"/>
            <w:vAlign w:val="bottom"/>
          </w:tcPr>
          <w:p>
            <w:pPr>
              <w:spacing w:after="0"/>
              <w:rPr>
                <w:sz w:val="14"/>
                <w:szCs w:val="14"/>
                <w:color w:val="auto"/>
              </w:rPr>
            </w:pPr>
          </w:p>
        </w:tc>
        <w:tc>
          <w:tcPr>
            <w:tcW w:w="660" w:type="dxa"/>
            <w:vAlign w:val="bottom"/>
          </w:tcPr>
          <w:p>
            <w:pPr>
              <w:spacing w:after="0"/>
              <w:rPr>
                <w:sz w:val="14"/>
                <w:szCs w:val="14"/>
                <w:color w:val="auto"/>
              </w:rPr>
            </w:pPr>
          </w:p>
        </w:tc>
        <w:tc>
          <w:tcPr>
            <w:tcW w:w="640" w:type="dxa"/>
            <w:vAlign w:val="bottom"/>
          </w:tcPr>
          <w:p>
            <w:pPr>
              <w:spacing w:after="0"/>
              <w:rPr>
                <w:sz w:val="14"/>
                <w:szCs w:val="14"/>
                <w:color w:val="auto"/>
              </w:rPr>
            </w:pPr>
          </w:p>
        </w:tc>
        <w:tc>
          <w:tcPr>
            <w:tcW w:w="240" w:type="dxa"/>
            <w:vAlign w:val="bottom"/>
          </w:tcPr>
          <w:p>
            <w:pPr>
              <w:spacing w:after="0"/>
              <w:rPr>
                <w:sz w:val="14"/>
                <w:szCs w:val="14"/>
                <w:color w:val="auto"/>
              </w:rPr>
            </w:pPr>
          </w:p>
        </w:tc>
        <w:tc>
          <w:tcPr>
            <w:tcW w:w="20" w:type="dxa"/>
            <w:vAlign w:val="bottom"/>
          </w:tcPr>
          <w:p>
            <w:pPr>
              <w:spacing w:after="0"/>
              <w:rPr>
                <w:sz w:val="14"/>
                <w:szCs w:val="14"/>
                <w:color w:val="auto"/>
              </w:rPr>
            </w:pPr>
          </w:p>
        </w:tc>
        <w:tc>
          <w:tcPr>
            <w:tcW w:w="340" w:type="dxa"/>
            <w:vAlign w:val="bottom"/>
          </w:tcPr>
          <w:p>
            <w:pPr>
              <w:spacing w:after="0"/>
              <w:rPr>
                <w:sz w:val="14"/>
                <w:szCs w:val="14"/>
                <w:color w:val="auto"/>
              </w:rPr>
            </w:pPr>
          </w:p>
        </w:tc>
        <w:tc>
          <w:tcPr>
            <w:tcW w:w="20" w:type="dxa"/>
            <w:vAlign w:val="bottom"/>
          </w:tcPr>
          <w:p>
            <w:pPr>
              <w:spacing w:after="0"/>
              <w:rPr>
                <w:sz w:val="14"/>
                <w:szCs w:val="14"/>
                <w:color w:val="auto"/>
              </w:rPr>
            </w:pPr>
          </w:p>
        </w:tc>
        <w:tc>
          <w:tcPr>
            <w:tcW w:w="2320" w:type="dxa"/>
            <w:vAlign w:val="bottom"/>
            <w:gridSpan w:val="2"/>
          </w:tcPr>
          <w:p>
            <w:pPr>
              <w:ind w:left="160"/>
              <w:spacing w:after="0" w:line="172" w:lineRule="exact"/>
              <w:rPr>
                <w:sz w:val="20"/>
                <w:szCs w:val="20"/>
                <w:color w:val="auto"/>
              </w:rPr>
            </w:pPr>
            <w:r>
              <w:rPr>
                <w:rFonts w:ascii="宋体" w:cs="宋体" w:eastAsia="宋体" w:hAnsi="宋体"/>
                <w:sz w:val="15"/>
                <w:szCs w:val="15"/>
                <w:color w:val="auto"/>
              </w:rPr>
              <w:t>试验药与阳性对照药的</w:t>
            </w:r>
          </w:p>
        </w:tc>
        <w:tc>
          <w:tcPr>
            <w:tcW w:w="0" w:type="dxa"/>
            <w:vAlign w:val="bottom"/>
          </w:tcPr>
          <w:p>
            <w:pPr>
              <w:spacing w:after="0"/>
              <w:rPr>
                <w:sz w:val="1"/>
                <w:szCs w:val="1"/>
                <w:color w:val="auto"/>
              </w:rPr>
            </w:pPr>
          </w:p>
        </w:tc>
      </w:tr>
      <w:tr>
        <w:trPr>
          <w:trHeight w:val="61"/>
        </w:trPr>
        <w:tc>
          <w:tcPr>
            <w:tcW w:w="360" w:type="dxa"/>
            <w:vAlign w:val="bottom"/>
            <w:vMerge w:val="restart"/>
          </w:tcPr>
          <w:p>
            <w:pPr>
              <w:ind w:left="140"/>
              <w:spacing w:after="0"/>
              <w:rPr>
                <w:sz w:val="20"/>
                <w:szCs w:val="20"/>
                <w:color w:val="auto"/>
              </w:rPr>
            </w:pPr>
            <w:r>
              <w:rPr>
                <w:rFonts w:ascii="Times New Roman" w:cs="Times New Roman" w:eastAsia="Times New Roman" w:hAnsi="Times New Roman"/>
                <w:sz w:val="15"/>
                <w:szCs w:val="15"/>
                <w:i w:val="1"/>
                <w:iCs w:val="1"/>
                <w:color w:val="auto"/>
              </w:rPr>
              <w:t>M</w:t>
            </w:r>
            <w:r>
              <w:rPr>
                <w:rFonts w:ascii="Times New Roman" w:cs="Times New Roman" w:eastAsia="Times New Roman" w:hAnsi="Times New Roman"/>
                <w:sz w:val="10"/>
                <w:szCs w:val="10"/>
                <w:color w:val="auto"/>
              </w:rPr>
              <w:t>1</w:t>
            </w:r>
          </w:p>
        </w:tc>
        <w:tc>
          <w:tcPr>
            <w:tcW w:w="1900" w:type="dxa"/>
            <w:vAlign w:val="bottom"/>
            <w:gridSpan w:val="5"/>
            <w:vMerge w:val="restart"/>
          </w:tcPr>
          <w:p>
            <w:pPr>
              <w:ind w:left="20"/>
              <w:spacing w:after="0" w:line="172" w:lineRule="exact"/>
              <w:rPr>
                <w:sz w:val="20"/>
                <w:szCs w:val="20"/>
                <w:color w:val="auto"/>
              </w:rPr>
            </w:pPr>
            <w:r>
              <w:rPr>
                <w:rFonts w:ascii="宋体" w:cs="宋体" w:eastAsia="宋体" w:hAnsi="宋体"/>
                <w:sz w:val="15"/>
                <w:szCs w:val="15"/>
                <w:color w:val="auto"/>
              </w:rPr>
              <w:t>为既往阳性对照药</w:t>
            </w:r>
          </w:p>
        </w:tc>
        <w:tc>
          <w:tcPr>
            <w:tcW w:w="20" w:type="dxa"/>
            <w:vAlign w:val="bottom"/>
          </w:tcPr>
          <w:p>
            <w:pPr>
              <w:spacing w:after="0"/>
              <w:rPr>
                <w:sz w:val="5"/>
                <w:szCs w:val="5"/>
                <w:color w:val="auto"/>
              </w:rPr>
            </w:pPr>
          </w:p>
        </w:tc>
        <w:tc>
          <w:tcPr>
            <w:tcW w:w="2320" w:type="dxa"/>
            <w:vAlign w:val="bottom"/>
            <w:gridSpan w:val="2"/>
            <w:vMerge w:val="restart"/>
          </w:tcPr>
          <w:p>
            <w:pPr>
              <w:ind w:left="160"/>
              <w:spacing w:after="0" w:line="172" w:lineRule="exact"/>
              <w:rPr>
                <w:sz w:val="20"/>
                <w:szCs w:val="20"/>
                <w:color w:val="auto"/>
              </w:rPr>
            </w:pPr>
            <w:r>
              <w:rPr>
                <w:rFonts w:ascii="宋体" w:cs="宋体" w:eastAsia="宋体" w:hAnsi="宋体"/>
                <w:sz w:val="15"/>
                <w:szCs w:val="15"/>
                <w:color w:val="auto"/>
              </w:rPr>
              <w:t>非劣效试验中</w:t>
            </w:r>
          </w:p>
        </w:tc>
        <w:tc>
          <w:tcPr>
            <w:tcW w:w="0" w:type="dxa"/>
            <w:vAlign w:val="bottom"/>
          </w:tcPr>
          <w:p>
            <w:pPr>
              <w:spacing w:after="0"/>
              <w:rPr>
                <w:sz w:val="1"/>
                <w:szCs w:val="1"/>
                <w:color w:val="auto"/>
              </w:rPr>
            </w:pPr>
          </w:p>
        </w:tc>
      </w:tr>
      <w:tr>
        <w:trPr>
          <w:trHeight w:val="136"/>
        </w:trPr>
        <w:tc>
          <w:tcPr>
            <w:tcW w:w="360" w:type="dxa"/>
            <w:vAlign w:val="bottom"/>
            <w:vMerge w:val="continue"/>
          </w:tcPr>
          <w:p>
            <w:pPr>
              <w:spacing w:after="0"/>
              <w:rPr>
                <w:sz w:val="11"/>
                <w:szCs w:val="11"/>
                <w:color w:val="auto"/>
              </w:rPr>
            </w:pPr>
          </w:p>
        </w:tc>
        <w:tc>
          <w:tcPr>
            <w:tcW w:w="1900" w:type="dxa"/>
            <w:vAlign w:val="bottom"/>
            <w:gridSpan w:val="5"/>
            <w:vMerge w:val="continue"/>
          </w:tcPr>
          <w:p>
            <w:pPr>
              <w:spacing w:after="0"/>
              <w:rPr>
                <w:sz w:val="11"/>
                <w:szCs w:val="11"/>
                <w:color w:val="auto"/>
              </w:rPr>
            </w:pPr>
          </w:p>
        </w:tc>
        <w:tc>
          <w:tcPr>
            <w:tcW w:w="20" w:type="dxa"/>
            <w:vAlign w:val="bottom"/>
            <w:shd w:val="clear" w:color="auto" w:fill="000000"/>
          </w:tcPr>
          <w:p>
            <w:pPr>
              <w:spacing w:after="0"/>
              <w:rPr>
                <w:sz w:val="11"/>
                <w:szCs w:val="11"/>
                <w:color w:val="auto"/>
              </w:rPr>
            </w:pPr>
          </w:p>
        </w:tc>
        <w:tc>
          <w:tcPr>
            <w:tcW w:w="2320" w:type="dxa"/>
            <w:vAlign w:val="bottom"/>
            <w:gridSpan w:val="2"/>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74"/>
        </w:trPr>
        <w:tc>
          <w:tcPr>
            <w:tcW w:w="360" w:type="dxa"/>
            <w:vAlign w:val="bottom"/>
            <w:vMerge w:val="continue"/>
          </w:tcPr>
          <w:p>
            <w:pPr>
              <w:spacing w:after="0"/>
              <w:rPr>
                <w:sz w:val="6"/>
                <w:szCs w:val="6"/>
                <w:color w:val="auto"/>
              </w:rPr>
            </w:pPr>
          </w:p>
        </w:tc>
        <w:tc>
          <w:tcPr>
            <w:tcW w:w="1900" w:type="dxa"/>
            <w:vAlign w:val="bottom"/>
            <w:gridSpan w:val="5"/>
            <w:vMerge w:val="continue"/>
          </w:tcPr>
          <w:p>
            <w:pPr>
              <w:spacing w:after="0"/>
              <w:rPr>
                <w:sz w:val="6"/>
                <w:szCs w:val="6"/>
                <w:color w:val="auto"/>
              </w:rPr>
            </w:pPr>
          </w:p>
        </w:tc>
        <w:tc>
          <w:tcPr>
            <w:tcW w:w="20" w:type="dxa"/>
            <w:vAlign w:val="bottom"/>
            <w:shd w:val="clear" w:color="auto" w:fill="000000"/>
          </w:tcPr>
          <w:p>
            <w:pPr>
              <w:spacing w:after="0"/>
              <w:rPr>
                <w:sz w:val="6"/>
                <w:szCs w:val="6"/>
                <w:color w:val="auto"/>
              </w:rPr>
            </w:pPr>
          </w:p>
        </w:tc>
        <w:tc>
          <w:tcPr>
            <w:tcW w:w="2320" w:type="dxa"/>
            <w:vAlign w:val="bottom"/>
            <w:gridSpan w:val="2"/>
            <w:vMerge w:val="restart"/>
          </w:tcPr>
          <w:p>
            <w:pPr>
              <w:ind w:left="160"/>
              <w:spacing w:after="0" w:line="183" w:lineRule="exact"/>
              <w:rPr>
                <w:sz w:val="20"/>
                <w:szCs w:val="20"/>
                <w:color w:val="auto"/>
              </w:rPr>
            </w:pPr>
            <w:r>
              <w:rPr>
                <w:rFonts w:ascii="Times New Roman" w:cs="Times New Roman" w:eastAsia="Times New Roman" w:hAnsi="Times New Roman"/>
                <w:sz w:val="15"/>
                <w:szCs w:val="15"/>
                <w:i w:val="1"/>
                <w:iCs w:val="1"/>
                <w:color w:val="auto"/>
              </w:rPr>
              <w:t xml:space="preserve">T </w:t>
            </w:r>
            <w:r>
              <w:rPr>
                <w:rFonts w:ascii="Times New Roman" w:cs="Times New Roman" w:eastAsia="Times New Roman" w:hAnsi="Times New Roman"/>
                <w:sz w:val="15"/>
                <w:szCs w:val="15"/>
                <w:color w:val="auto"/>
              </w:rPr>
              <w:t>/</w:t>
            </w:r>
            <w:r>
              <w:rPr>
                <w:rFonts w:ascii="Times New Roman" w:cs="Times New Roman" w:eastAsia="Times New Roman" w:hAnsi="Times New Roman"/>
                <w:sz w:val="15"/>
                <w:szCs w:val="15"/>
                <w:i w:val="1"/>
                <w:iCs w:val="1"/>
                <w:color w:val="auto"/>
              </w:rPr>
              <w:t xml:space="preserve"> C </w:t>
            </w:r>
            <w:r>
              <w:rPr>
                <w:rFonts w:ascii="宋体" w:cs="宋体" w:eastAsia="宋体" w:hAnsi="宋体"/>
                <w:sz w:val="15"/>
                <w:szCs w:val="15"/>
                <w:color w:val="auto"/>
              </w:rPr>
              <w:t>的</w:t>
            </w:r>
            <w:r>
              <w:rPr>
                <w:rFonts w:ascii="Times New Roman" w:cs="Times New Roman" w:eastAsia="Times New Roman" w:hAnsi="Times New Roman"/>
                <w:sz w:val="15"/>
                <w:szCs w:val="15"/>
                <w:i w:val="1"/>
                <w:iCs w:val="1"/>
                <w:color w:val="auto"/>
              </w:rPr>
              <w:t xml:space="preserve"> </w:t>
            </w:r>
            <w:r>
              <w:rPr>
                <w:rFonts w:ascii="Times New Roman" w:cs="Times New Roman" w:eastAsia="Times New Roman" w:hAnsi="Times New Roman"/>
                <w:sz w:val="15"/>
                <w:szCs w:val="15"/>
                <w:color w:val="auto"/>
              </w:rPr>
              <w:t>95%</w:t>
            </w:r>
            <w:r>
              <w:rPr>
                <w:rFonts w:ascii="Times New Roman" w:cs="Times New Roman" w:eastAsia="Times New Roman" w:hAnsi="Times New Roman"/>
                <w:sz w:val="15"/>
                <w:szCs w:val="15"/>
                <w:i w:val="1"/>
                <w:iCs w:val="1"/>
                <w:color w:val="auto"/>
              </w:rPr>
              <w:t xml:space="preserve"> CI</w:t>
            </w:r>
          </w:p>
        </w:tc>
        <w:tc>
          <w:tcPr>
            <w:tcW w:w="0" w:type="dxa"/>
            <w:vAlign w:val="bottom"/>
          </w:tcPr>
          <w:p>
            <w:pPr>
              <w:spacing w:after="0"/>
              <w:rPr>
                <w:sz w:val="1"/>
                <w:szCs w:val="1"/>
                <w:color w:val="auto"/>
              </w:rPr>
            </w:pPr>
          </w:p>
        </w:tc>
      </w:tr>
      <w:tr>
        <w:trPr>
          <w:trHeight w:val="134"/>
        </w:trPr>
        <w:tc>
          <w:tcPr>
            <w:tcW w:w="2260" w:type="dxa"/>
            <w:vAlign w:val="bottom"/>
            <w:gridSpan w:val="6"/>
            <w:vMerge w:val="restart"/>
          </w:tcPr>
          <w:p>
            <w:pPr>
              <w:ind w:left="140"/>
              <w:spacing w:after="0" w:line="172" w:lineRule="exact"/>
              <w:rPr>
                <w:sz w:val="20"/>
                <w:szCs w:val="20"/>
                <w:color w:val="auto"/>
              </w:rPr>
            </w:pPr>
            <w:r>
              <w:rPr>
                <w:rFonts w:ascii="宋体" w:cs="宋体" w:eastAsia="宋体" w:hAnsi="宋体"/>
                <w:sz w:val="15"/>
                <w:szCs w:val="15"/>
                <w:color w:val="auto"/>
              </w:rPr>
              <w:t>与安慰剂的优效试验中</w:t>
            </w:r>
          </w:p>
        </w:tc>
        <w:tc>
          <w:tcPr>
            <w:tcW w:w="20" w:type="dxa"/>
            <w:vAlign w:val="bottom"/>
            <w:shd w:val="clear" w:color="auto" w:fill="000000"/>
          </w:tcPr>
          <w:p>
            <w:pPr>
              <w:spacing w:after="0"/>
              <w:rPr>
                <w:sz w:val="11"/>
                <w:szCs w:val="11"/>
                <w:color w:val="auto"/>
              </w:rPr>
            </w:pPr>
          </w:p>
        </w:tc>
        <w:tc>
          <w:tcPr>
            <w:tcW w:w="2320" w:type="dxa"/>
            <w:vAlign w:val="bottom"/>
            <w:gridSpan w:val="2"/>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50"/>
        </w:trPr>
        <w:tc>
          <w:tcPr>
            <w:tcW w:w="2260" w:type="dxa"/>
            <w:vAlign w:val="bottom"/>
            <w:gridSpan w:val="6"/>
            <w:vMerge w:val="continue"/>
          </w:tcPr>
          <w:p>
            <w:pPr>
              <w:spacing w:after="0"/>
              <w:rPr>
                <w:sz w:val="4"/>
                <w:szCs w:val="4"/>
                <w:color w:val="auto"/>
              </w:rPr>
            </w:pPr>
          </w:p>
        </w:tc>
        <w:tc>
          <w:tcPr>
            <w:tcW w:w="20" w:type="dxa"/>
            <w:vAlign w:val="bottom"/>
            <w:shd w:val="clear" w:color="auto" w:fill="000000"/>
          </w:tcPr>
          <w:p>
            <w:pPr>
              <w:spacing w:after="0"/>
              <w:rPr>
                <w:sz w:val="4"/>
                <w:szCs w:val="4"/>
                <w:color w:val="auto"/>
              </w:rPr>
            </w:pPr>
          </w:p>
        </w:tc>
        <w:tc>
          <w:tcPr>
            <w:tcW w:w="1060" w:type="dxa"/>
            <w:vAlign w:val="bottom"/>
          </w:tcPr>
          <w:p>
            <w:pPr>
              <w:spacing w:after="0"/>
              <w:rPr>
                <w:sz w:val="4"/>
                <w:szCs w:val="4"/>
                <w:color w:val="auto"/>
              </w:rPr>
            </w:pPr>
          </w:p>
        </w:tc>
        <w:tc>
          <w:tcPr>
            <w:tcW w:w="126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04"/>
        </w:trPr>
        <w:tc>
          <w:tcPr>
            <w:tcW w:w="1900" w:type="dxa"/>
            <w:vAlign w:val="bottom"/>
            <w:gridSpan w:val="4"/>
            <w:vMerge w:val="restart"/>
          </w:tcPr>
          <w:p>
            <w:pPr>
              <w:ind w:left="140"/>
              <w:spacing w:after="0" w:line="183" w:lineRule="exact"/>
              <w:rPr>
                <w:sz w:val="20"/>
                <w:szCs w:val="20"/>
                <w:color w:val="auto"/>
              </w:rPr>
            </w:pPr>
            <w:r>
              <w:rPr>
                <w:rFonts w:ascii="Times New Roman" w:cs="Times New Roman" w:eastAsia="Times New Roman" w:hAnsi="Times New Roman"/>
                <w:sz w:val="15"/>
                <w:szCs w:val="15"/>
                <w:i w:val="1"/>
                <w:iCs w:val="1"/>
                <w:color w:val="auto"/>
              </w:rPr>
              <w:t xml:space="preserve">C </w:t>
            </w:r>
            <w:r>
              <w:rPr>
                <w:rFonts w:ascii="Times New Roman" w:cs="Times New Roman" w:eastAsia="Times New Roman" w:hAnsi="Times New Roman"/>
                <w:sz w:val="15"/>
                <w:szCs w:val="15"/>
                <w:color w:val="auto"/>
              </w:rPr>
              <w:t>/</w:t>
            </w:r>
            <w:r>
              <w:rPr>
                <w:rFonts w:ascii="Times New Roman" w:cs="Times New Roman" w:eastAsia="Times New Roman" w:hAnsi="Times New Roman"/>
                <w:sz w:val="15"/>
                <w:szCs w:val="15"/>
                <w:i w:val="1"/>
                <w:iCs w:val="1"/>
                <w:color w:val="auto"/>
              </w:rPr>
              <w:t xml:space="preserve"> P </w:t>
            </w:r>
            <w:r>
              <w:rPr>
                <w:rFonts w:ascii="宋体" w:cs="宋体" w:eastAsia="宋体" w:hAnsi="宋体"/>
                <w:sz w:val="15"/>
                <w:szCs w:val="15"/>
                <w:color w:val="auto"/>
              </w:rPr>
              <w:t>的</w:t>
            </w:r>
            <w:r>
              <w:rPr>
                <w:rFonts w:ascii="Times New Roman" w:cs="Times New Roman" w:eastAsia="Times New Roman" w:hAnsi="Times New Roman"/>
                <w:sz w:val="15"/>
                <w:szCs w:val="15"/>
                <w:i w:val="1"/>
                <w:iCs w:val="1"/>
                <w:color w:val="auto"/>
              </w:rPr>
              <w:t xml:space="preserve"> </w:t>
            </w:r>
            <w:r>
              <w:rPr>
                <w:rFonts w:ascii="Times New Roman" w:cs="Times New Roman" w:eastAsia="Times New Roman" w:hAnsi="Times New Roman"/>
                <w:sz w:val="15"/>
                <w:szCs w:val="15"/>
                <w:color w:val="auto"/>
              </w:rPr>
              <w:t>95%</w:t>
            </w:r>
            <w:r>
              <w:rPr>
                <w:rFonts w:ascii="Times New Roman" w:cs="Times New Roman" w:eastAsia="Times New Roman" w:hAnsi="Times New Roman"/>
                <w:sz w:val="15"/>
                <w:szCs w:val="15"/>
                <w:i w:val="1"/>
                <w:iCs w:val="1"/>
                <w:color w:val="auto"/>
              </w:rPr>
              <w:t xml:space="preserve"> CI </w:t>
            </w:r>
            <w:r>
              <w:rPr>
                <w:rFonts w:ascii="宋体" w:cs="宋体" w:eastAsia="宋体" w:hAnsi="宋体"/>
                <w:sz w:val="15"/>
                <w:szCs w:val="15"/>
                <w:color w:val="auto"/>
              </w:rPr>
              <w:t>下限</w:t>
            </w:r>
          </w:p>
        </w:tc>
        <w:tc>
          <w:tcPr>
            <w:tcW w:w="20" w:type="dxa"/>
            <w:vAlign w:val="bottom"/>
          </w:tcPr>
          <w:p>
            <w:pPr>
              <w:spacing w:after="0"/>
              <w:rPr>
                <w:sz w:val="9"/>
                <w:szCs w:val="9"/>
                <w:color w:val="auto"/>
              </w:rPr>
            </w:pPr>
          </w:p>
        </w:tc>
        <w:tc>
          <w:tcPr>
            <w:tcW w:w="340" w:type="dxa"/>
            <w:vAlign w:val="bottom"/>
            <w:vMerge w:val="restart"/>
          </w:tcPr>
          <w:p>
            <w:pPr>
              <w:spacing w:after="0"/>
              <w:rPr>
                <w:sz w:val="9"/>
                <w:szCs w:val="9"/>
                <w:color w:val="auto"/>
              </w:rPr>
            </w:pPr>
          </w:p>
        </w:tc>
        <w:tc>
          <w:tcPr>
            <w:tcW w:w="20" w:type="dxa"/>
            <w:vAlign w:val="bottom"/>
            <w:shd w:val="clear" w:color="auto" w:fill="000000"/>
          </w:tcPr>
          <w:p>
            <w:pPr>
              <w:spacing w:after="0"/>
              <w:rPr>
                <w:sz w:val="9"/>
                <w:szCs w:val="9"/>
                <w:color w:val="auto"/>
              </w:rPr>
            </w:pPr>
          </w:p>
        </w:tc>
        <w:tc>
          <w:tcPr>
            <w:tcW w:w="1060" w:type="dxa"/>
            <w:vAlign w:val="bottom"/>
          </w:tcPr>
          <w:p>
            <w:pPr>
              <w:spacing w:after="0"/>
              <w:rPr>
                <w:sz w:val="9"/>
                <w:szCs w:val="9"/>
                <w:color w:val="auto"/>
              </w:rPr>
            </w:pPr>
          </w:p>
        </w:tc>
        <w:tc>
          <w:tcPr>
            <w:tcW w:w="126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00"/>
        </w:trPr>
        <w:tc>
          <w:tcPr>
            <w:tcW w:w="1900" w:type="dxa"/>
            <w:vAlign w:val="bottom"/>
            <w:gridSpan w:val="4"/>
            <w:vMerge w:val="continue"/>
          </w:tcPr>
          <w:p>
            <w:pPr>
              <w:spacing w:after="0"/>
              <w:rPr>
                <w:sz w:val="8"/>
                <w:szCs w:val="8"/>
                <w:color w:val="auto"/>
              </w:rPr>
            </w:pPr>
          </w:p>
        </w:tc>
        <w:tc>
          <w:tcPr>
            <w:tcW w:w="20" w:type="dxa"/>
            <w:vAlign w:val="bottom"/>
            <w:shd w:val="clear" w:color="auto" w:fill="000000"/>
          </w:tcPr>
          <w:p>
            <w:pPr>
              <w:spacing w:after="0"/>
              <w:rPr>
                <w:sz w:val="8"/>
                <w:szCs w:val="8"/>
                <w:color w:val="auto"/>
              </w:rPr>
            </w:pPr>
          </w:p>
        </w:tc>
        <w:tc>
          <w:tcPr>
            <w:tcW w:w="340" w:type="dxa"/>
            <w:vAlign w:val="bottom"/>
            <w:vMerge w:val="continue"/>
          </w:tcPr>
          <w:p>
            <w:pPr>
              <w:spacing w:after="0"/>
              <w:rPr>
                <w:sz w:val="8"/>
                <w:szCs w:val="8"/>
                <w:color w:val="auto"/>
              </w:rPr>
            </w:pPr>
          </w:p>
        </w:tc>
        <w:tc>
          <w:tcPr>
            <w:tcW w:w="20" w:type="dxa"/>
            <w:vAlign w:val="bottom"/>
            <w:shd w:val="clear" w:color="auto" w:fill="000000"/>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126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99"/>
        </w:trPr>
        <w:tc>
          <w:tcPr>
            <w:tcW w:w="360" w:type="dxa"/>
            <w:vAlign w:val="bottom"/>
          </w:tcPr>
          <w:p>
            <w:pPr>
              <w:spacing w:after="0"/>
              <w:rPr>
                <w:sz w:val="8"/>
                <w:szCs w:val="8"/>
                <w:color w:val="auto"/>
              </w:rPr>
            </w:pPr>
          </w:p>
        </w:tc>
        <w:tc>
          <w:tcPr>
            <w:tcW w:w="660" w:type="dxa"/>
            <w:vAlign w:val="bottom"/>
          </w:tcPr>
          <w:p>
            <w:pPr>
              <w:spacing w:after="0"/>
              <w:rPr>
                <w:sz w:val="8"/>
                <w:szCs w:val="8"/>
                <w:color w:val="auto"/>
              </w:rPr>
            </w:pPr>
          </w:p>
        </w:tc>
        <w:tc>
          <w:tcPr>
            <w:tcW w:w="640" w:type="dxa"/>
            <w:vAlign w:val="bottom"/>
          </w:tcPr>
          <w:p>
            <w:pPr>
              <w:spacing w:after="0"/>
              <w:rPr>
                <w:sz w:val="8"/>
                <w:szCs w:val="8"/>
                <w:color w:val="auto"/>
              </w:rPr>
            </w:pPr>
          </w:p>
        </w:tc>
        <w:tc>
          <w:tcPr>
            <w:tcW w:w="240" w:type="dxa"/>
            <w:vAlign w:val="bottom"/>
          </w:tcPr>
          <w:p>
            <w:pPr>
              <w:spacing w:after="0"/>
              <w:rPr>
                <w:sz w:val="8"/>
                <w:szCs w:val="8"/>
                <w:color w:val="auto"/>
              </w:rPr>
            </w:pPr>
          </w:p>
        </w:tc>
        <w:tc>
          <w:tcPr>
            <w:tcW w:w="20" w:type="dxa"/>
            <w:vAlign w:val="bottom"/>
            <w:shd w:val="clear" w:color="auto" w:fill="000000"/>
          </w:tcPr>
          <w:p>
            <w:pPr>
              <w:spacing w:after="0"/>
              <w:rPr>
                <w:sz w:val="8"/>
                <w:szCs w:val="8"/>
                <w:color w:val="auto"/>
              </w:rPr>
            </w:pPr>
          </w:p>
        </w:tc>
        <w:tc>
          <w:tcPr>
            <w:tcW w:w="340" w:type="dxa"/>
            <w:vAlign w:val="bottom"/>
          </w:tcPr>
          <w:p>
            <w:pPr>
              <w:spacing w:after="0"/>
              <w:rPr>
                <w:sz w:val="8"/>
                <w:szCs w:val="8"/>
                <w:color w:val="auto"/>
              </w:rPr>
            </w:pPr>
          </w:p>
        </w:tc>
        <w:tc>
          <w:tcPr>
            <w:tcW w:w="20" w:type="dxa"/>
            <w:vAlign w:val="bottom"/>
            <w:shd w:val="clear" w:color="auto" w:fill="000000"/>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126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402"/>
        </w:trPr>
        <w:tc>
          <w:tcPr>
            <w:tcW w:w="36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1240" w:type="dxa"/>
            <w:vAlign w:val="bottom"/>
            <w:gridSpan w:val="4"/>
          </w:tcPr>
          <w:p>
            <w:pPr>
              <w:ind w:left="240"/>
              <w:spacing w:after="0" w:line="172" w:lineRule="exact"/>
              <w:rPr>
                <w:sz w:val="20"/>
                <w:szCs w:val="20"/>
                <w:color w:val="auto"/>
              </w:rPr>
            </w:pPr>
            <w:r>
              <w:rPr>
                <w:rFonts w:ascii="宋体" w:cs="宋体" w:eastAsia="宋体" w:hAnsi="宋体"/>
                <w:sz w:val="15"/>
                <w:szCs w:val="15"/>
                <w:i w:val="1"/>
                <w:iCs w:val="1"/>
                <w:color w:val="auto"/>
              </w:rPr>
              <w:t>非</w:t>
            </w:r>
            <w:r>
              <w:rPr>
                <w:rFonts w:ascii="宋体" w:cs="宋体" w:eastAsia="宋体" w:hAnsi="宋体"/>
                <w:sz w:val="15"/>
                <w:szCs w:val="15"/>
                <w:color w:val="auto"/>
              </w:rPr>
              <w:t>劣效界值</w:t>
            </w:r>
          </w:p>
        </w:tc>
        <w:tc>
          <w:tcPr>
            <w:tcW w:w="20" w:type="dxa"/>
            <w:vAlign w:val="bottom"/>
            <w:shd w:val="clear" w:color="auto" w:fill="000000"/>
          </w:tcPr>
          <w:p>
            <w:pPr>
              <w:spacing w:after="0"/>
              <w:rPr>
                <w:sz w:val="24"/>
                <w:szCs w:val="24"/>
                <w:color w:val="auto"/>
              </w:rPr>
            </w:pPr>
          </w:p>
        </w:tc>
        <w:tc>
          <w:tcPr>
            <w:tcW w:w="1060" w:type="dxa"/>
            <w:vAlign w:val="bottom"/>
          </w:tcPr>
          <w:p>
            <w:pPr>
              <w:spacing w:after="0"/>
              <w:rPr>
                <w:sz w:val="24"/>
                <w:szCs w:val="24"/>
                <w:color w:val="auto"/>
              </w:rPr>
            </w:pPr>
          </w:p>
        </w:tc>
        <w:tc>
          <w:tcPr>
            <w:tcW w:w="126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6"/>
        </w:trPr>
        <w:tc>
          <w:tcPr>
            <w:tcW w:w="360" w:type="dxa"/>
            <w:vAlign w:val="bottom"/>
          </w:tcPr>
          <w:p>
            <w:pPr>
              <w:spacing w:after="0"/>
              <w:rPr>
                <w:sz w:val="6"/>
                <w:szCs w:val="6"/>
                <w:color w:val="auto"/>
              </w:rPr>
            </w:pPr>
          </w:p>
        </w:tc>
        <w:tc>
          <w:tcPr>
            <w:tcW w:w="660" w:type="dxa"/>
            <w:vAlign w:val="bottom"/>
          </w:tcPr>
          <w:p>
            <w:pPr>
              <w:spacing w:after="0"/>
              <w:rPr>
                <w:sz w:val="6"/>
                <w:szCs w:val="6"/>
                <w:color w:val="auto"/>
              </w:rPr>
            </w:pPr>
          </w:p>
        </w:tc>
        <w:tc>
          <w:tcPr>
            <w:tcW w:w="640" w:type="dxa"/>
            <w:vAlign w:val="bottom"/>
          </w:tcPr>
          <w:p>
            <w:pPr>
              <w:spacing w:after="0"/>
              <w:rPr>
                <w:sz w:val="6"/>
                <w:szCs w:val="6"/>
                <w:color w:val="auto"/>
              </w:rPr>
            </w:pPr>
          </w:p>
        </w:tc>
        <w:tc>
          <w:tcPr>
            <w:tcW w:w="240" w:type="dxa"/>
            <w:vAlign w:val="bottom"/>
          </w:tcPr>
          <w:p>
            <w:pPr>
              <w:spacing w:after="0"/>
              <w:rPr>
                <w:sz w:val="6"/>
                <w:szCs w:val="6"/>
                <w:color w:val="auto"/>
              </w:rPr>
            </w:pPr>
          </w:p>
        </w:tc>
        <w:tc>
          <w:tcPr>
            <w:tcW w:w="20" w:type="dxa"/>
            <w:vAlign w:val="bottom"/>
          </w:tcPr>
          <w:p>
            <w:pPr>
              <w:spacing w:after="0"/>
              <w:rPr>
                <w:sz w:val="6"/>
                <w:szCs w:val="6"/>
                <w:color w:val="auto"/>
              </w:rPr>
            </w:pPr>
          </w:p>
        </w:tc>
        <w:tc>
          <w:tcPr>
            <w:tcW w:w="340" w:type="dxa"/>
            <w:vAlign w:val="bottom"/>
          </w:tcPr>
          <w:p>
            <w:pPr>
              <w:spacing w:after="0"/>
              <w:rPr>
                <w:sz w:val="6"/>
                <w:szCs w:val="6"/>
                <w:color w:val="auto"/>
              </w:rPr>
            </w:pPr>
          </w:p>
        </w:tc>
        <w:tc>
          <w:tcPr>
            <w:tcW w:w="20" w:type="dxa"/>
            <w:vAlign w:val="bottom"/>
            <w:tcBorders>
              <w:bottom w:val="single" w:sz="8" w:color="auto"/>
            </w:tcBorders>
            <w:shd w:val="clear" w:color="auto" w:fill="000000"/>
          </w:tcPr>
          <w:p>
            <w:pPr>
              <w:spacing w:after="0"/>
              <w:rPr>
                <w:sz w:val="6"/>
                <w:szCs w:val="6"/>
                <w:color w:val="auto"/>
              </w:rPr>
            </w:pPr>
          </w:p>
        </w:tc>
        <w:tc>
          <w:tcPr>
            <w:tcW w:w="1060" w:type="dxa"/>
            <w:vAlign w:val="bottom"/>
          </w:tcPr>
          <w:p>
            <w:pPr>
              <w:spacing w:after="0"/>
              <w:rPr>
                <w:sz w:val="6"/>
                <w:szCs w:val="6"/>
                <w:color w:val="auto"/>
              </w:rPr>
            </w:pPr>
          </w:p>
        </w:tc>
        <w:tc>
          <w:tcPr>
            <w:tcW w:w="126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36"/>
        </w:trPr>
        <w:tc>
          <w:tcPr>
            <w:tcW w:w="360" w:type="dxa"/>
            <w:vAlign w:val="bottom"/>
            <w:tcBorders>
              <w:bottom w:val="single" w:sz="8" w:color="auto"/>
            </w:tcBorders>
          </w:tcPr>
          <w:p>
            <w:pPr>
              <w:spacing w:after="0"/>
              <w:rPr>
                <w:sz w:val="11"/>
                <w:szCs w:val="11"/>
                <w:color w:val="auto"/>
              </w:rPr>
            </w:pPr>
          </w:p>
        </w:tc>
        <w:tc>
          <w:tcPr>
            <w:tcW w:w="660" w:type="dxa"/>
            <w:vAlign w:val="bottom"/>
            <w:tcBorders>
              <w:bottom w:val="single" w:sz="8" w:color="auto"/>
              <w:right w:val="single" w:sz="8" w:color="auto"/>
            </w:tcBorders>
          </w:tcPr>
          <w:p>
            <w:pPr>
              <w:spacing w:after="0"/>
              <w:rPr>
                <w:sz w:val="11"/>
                <w:szCs w:val="11"/>
                <w:color w:val="auto"/>
              </w:rPr>
            </w:pPr>
          </w:p>
        </w:tc>
        <w:tc>
          <w:tcPr>
            <w:tcW w:w="640" w:type="dxa"/>
            <w:vAlign w:val="bottom"/>
            <w:tcBorders>
              <w:bottom w:val="single" w:sz="8" w:color="auto"/>
              <w:right w:val="single" w:sz="8" w:color="auto"/>
            </w:tcBorders>
          </w:tcPr>
          <w:p>
            <w:pPr>
              <w:spacing w:after="0"/>
              <w:rPr>
                <w:sz w:val="11"/>
                <w:szCs w:val="11"/>
                <w:color w:val="auto"/>
              </w:rPr>
            </w:pPr>
          </w:p>
        </w:tc>
        <w:tc>
          <w:tcPr>
            <w:tcW w:w="240" w:type="dxa"/>
            <w:vAlign w:val="bottom"/>
            <w:tcBorders>
              <w:bottom w:val="single" w:sz="8" w:color="auto"/>
            </w:tcBorders>
          </w:tcPr>
          <w:p>
            <w:pPr>
              <w:spacing w:after="0"/>
              <w:rPr>
                <w:sz w:val="11"/>
                <w:szCs w:val="11"/>
                <w:color w:val="auto"/>
              </w:rPr>
            </w:pPr>
          </w:p>
        </w:tc>
        <w:tc>
          <w:tcPr>
            <w:tcW w:w="20" w:type="dxa"/>
            <w:vAlign w:val="bottom"/>
            <w:tcBorders>
              <w:bottom w:val="single" w:sz="8" w:color="auto"/>
            </w:tcBorders>
          </w:tcPr>
          <w:p>
            <w:pPr>
              <w:spacing w:after="0"/>
              <w:rPr>
                <w:sz w:val="11"/>
                <w:szCs w:val="11"/>
                <w:color w:val="auto"/>
              </w:rPr>
            </w:pPr>
          </w:p>
        </w:tc>
        <w:tc>
          <w:tcPr>
            <w:tcW w:w="340" w:type="dxa"/>
            <w:vAlign w:val="bottom"/>
            <w:tcBorders>
              <w:bottom w:val="single" w:sz="8" w:color="auto"/>
            </w:tcBorders>
          </w:tcPr>
          <w:p>
            <w:pPr>
              <w:spacing w:after="0"/>
              <w:rPr>
                <w:sz w:val="11"/>
                <w:szCs w:val="11"/>
                <w:color w:val="auto"/>
              </w:rPr>
            </w:pPr>
          </w:p>
        </w:tc>
        <w:tc>
          <w:tcPr>
            <w:tcW w:w="20" w:type="dxa"/>
            <w:vAlign w:val="bottom"/>
            <w:tcBorders>
              <w:bottom w:val="single" w:sz="8" w:color="auto"/>
            </w:tcBorders>
          </w:tcPr>
          <w:p>
            <w:pPr>
              <w:spacing w:after="0"/>
              <w:rPr>
                <w:sz w:val="11"/>
                <w:szCs w:val="11"/>
                <w:color w:val="auto"/>
              </w:rPr>
            </w:pPr>
          </w:p>
        </w:tc>
        <w:tc>
          <w:tcPr>
            <w:tcW w:w="1060" w:type="dxa"/>
            <w:vAlign w:val="bottom"/>
            <w:tcBorders>
              <w:bottom w:val="single" w:sz="8" w:color="auto"/>
            </w:tcBorders>
          </w:tcPr>
          <w:p>
            <w:pPr>
              <w:spacing w:after="0"/>
              <w:rPr>
                <w:sz w:val="11"/>
                <w:szCs w:val="11"/>
                <w:color w:val="auto"/>
              </w:rPr>
            </w:pPr>
          </w:p>
        </w:tc>
        <w:tc>
          <w:tcPr>
            <w:tcW w:w="1260" w:type="dxa"/>
            <w:vAlign w:val="bottom"/>
            <w:tcBorders>
              <w:bottom w:val="single" w:sz="8" w:color="auto"/>
            </w:tcBorders>
          </w:tcPr>
          <w:p>
            <w:pPr>
              <w:spacing w:after="0"/>
              <w:rPr>
                <w:sz w:val="11"/>
                <w:szCs w:val="11"/>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1905</wp:posOffset>
            </wp:positionH>
            <wp:positionV relativeFrom="paragraph">
              <wp:posOffset>-837565</wp:posOffset>
            </wp:positionV>
            <wp:extent cx="2113280" cy="104521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a:clrChange>
                        <a:clrFrom>
                          <a:srgbClr val="000000"/>
                        </a:clrFrom>
                        <a:clrTo>
                          <a:srgbClr val="000000">
                            <a:alpha val="0"/>
                          </a:srgbClr>
                        </a:clrTo>
                      </a:clrChange>
                      <a:extLst>
                        <a:ext uri="{28A0092B-C50C-407E-A947-70E740481C1C}"/>
                      </a:extLst>
                    </a:blip>
                    <a:srcRect/>
                    <a:stretch>
                      <a:fillRect/>
                    </a:stretch>
                  </pic:blipFill>
                  <pic:spPr bwMode="auto">
                    <a:xfrm>
                      <a:off x="0" y="0"/>
                      <a:ext cx="2113280" cy="1045210"/>
                    </a:xfrm>
                    <a:prstGeom prst="rect">
                      <a:avLst/>
                    </a:prstGeom>
                    <a:noFill/>
                  </pic:spPr>
                </pic:pic>
              </a:graphicData>
            </a:graphic>
          </wp:anchor>
        </w:drawing>
        <w:drawing>
          <wp:anchor simplePos="0" relativeHeight="251657728" behindDoc="1" locked="0" layoutInCell="0" allowOverlap="1">
            <wp:simplePos x="0" y="0"/>
            <wp:positionH relativeFrom="column">
              <wp:posOffset>1905</wp:posOffset>
            </wp:positionH>
            <wp:positionV relativeFrom="paragraph">
              <wp:posOffset>-837565</wp:posOffset>
            </wp:positionV>
            <wp:extent cx="2113280" cy="104521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
                      <a:clrChange>
                        <a:clrFrom>
                          <a:srgbClr val="FFFFFF"/>
                        </a:clrFrom>
                        <a:clrTo>
                          <a:srgbClr val="FFFFFF">
                            <a:alpha val="0"/>
                          </a:srgbClr>
                        </a:clrTo>
                      </a:clrChange>
                      <a:extLst>
                        <a:ext uri="{28A0092B-C50C-407E-A947-70E740481C1C}"/>
                      </a:extLst>
                    </a:blip>
                    <a:srcRect/>
                    <a:stretch>
                      <a:fillRect/>
                    </a:stretch>
                  </pic:blipFill>
                  <pic:spPr bwMode="auto">
                    <a:xfrm>
                      <a:off x="0" y="0"/>
                      <a:ext cx="2113280" cy="1045210"/>
                    </a:xfrm>
                    <a:prstGeom prst="rect">
                      <a:avLst/>
                    </a:prstGeom>
                    <a:noFill/>
                  </pic:spPr>
                </pic:pic>
              </a:graphicData>
            </a:graphic>
          </wp:anchor>
        </w:drawing>
      </w:r>
    </w:p>
    <w:p>
      <w:pPr>
        <w:spacing w:after="0" w:line="6" w:lineRule="exact"/>
        <w:rPr>
          <w:sz w:val="20"/>
          <w:szCs w:val="20"/>
          <w:color w:val="auto"/>
        </w:rPr>
      </w:pPr>
    </w:p>
    <w:p>
      <w:pPr>
        <w:ind w:left="760"/>
        <w:spacing w:after="0"/>
        <w:tabs>
          <w:tab w:leader="none" w:pos="1380" w:val="left"/>
          <w:tab w:leader="none" w:pos="2200" w:val="left"/>
        </w:tabs>
        <w:rPr>
          <w:sz w:val="20"/>
          <w:szCs w:val="20"/>
          <w:color w:val="auto"/>
        </w:rPr>
      </w:pPr>
      <w:r>
        <w:rPr>
          <w:rFonts w:ascii="Times New Roman" w:cs="Times New Roman" w:eastAsia="Times New Roman" w:hAnsi="Times New Roman"/>
          <w:sz w:val="21"/>
          <w:szCs w:val="21"/>
          <w:i w:val="1"/>
          <w:iCs w:val="1"/>
          <w:color w:val="auto"/>
        </w:rPr>
        <w:t>1/M</w:t>
      </w:r>
      <w:r>
        <w:rPr>
          <w:rFonts w:ascii="Times New Roman" w:cs="Times New Roman" w:eastAsia="Times New Roman" w:hAnsi="Times New Roman"/>
          <w:sz w:val="13"/>
          <w:szCs w:val="13"/>
          <w:color w:val="auto"/>
        </w:rPr>
        <w:t>1</w:t>
      </w:r>
      <w:r>
        <w:rPr>
          <w:sz w:val="20"/>
          <w:szCs w:val="20"/>
          <w:color w:val="auto"/>
        </w:rPr>
        <w:tab/>
      </w:r>
      <w:r>
        <w:rPr>
          <w:rFonts w:ascii="Times New Roman" w:cs="Times New Roman" w:eastAsia="Times New Roman" w:hAnsi="Times New Roman"/>
          <w:sz w:val="21"/>
          <w:szCs w:val="21"/>
          <w:i w:val="1"/>
          <w:iCs w:val="1"/>
          <w:color w:val="auto"/>
        </w:rPr>
        <w:t>1/M</w:t>
      </w:r>
      <w:r>
        <w:rPr>
          <w:rFonts w:ascii="Times New Roman" w:cs="Times New Roman" w:eastAsia="Times New Roman" w:hAnsi="Times New Roman"/>
          <w:sz w:val="13"/>
          <w:szCs w:val="13"/>
          <w:color w:val="auto"/>
        </w:rPr>
        <w:t>2</w:t>
      </w:r>
      <w:r>
        <w:rPr>
          <w:sz w:val="20"/>
          <w:szCs w:val="20"/>
          <w:color w:val="auto"/>
        </w:rPr>
        <w:tab/>
      </w:r>
      <w:r>
        <w:rPr>
          <w:rFonts w:ascii="Times New Roman" w:cs="Times New Roman" w:eastAsia="Times New Roman" w:hAnsi="Times New Roman"/>
          <w:sz w:val="20"/>
          <w:szCs w:val="20"/>
          <w:b w:val="1"/>
          <w:bCs w:val="1"/>
          <w:color w:val="auto"/>
        </w:rPr>
        <w:t>1</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-1472565</wp:posOffset>
                </wp:positionH>
                <wp:positionV relativeFrom="paragraph">
                  <wp:posOffset>108585</wp:posOffset>
                </wp:positionV>
                <wp:extent cx="5278120" cy="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2781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5.9499pt,8.55pt" to="299.65pt,8.55pt" o:allowincell="f" strokecolor="#000000" strokeweight="0.4799pt"/>
            </w:pict>
          </mc:Fallback>
        </mc:AlternateContent>
        <w:drawing>
          <wp:anchor simplePos="0" relativeHeight="251657728" behindDoc="1" locked="0" layoutInCell="0" allowOverlap="1">
            <wp:simplePos x="0" y="0"/>
            <wp:positionH relativeFrom="column">
              <wp:posOffset>123825</wp:posOffset>
            </wp:positionH>
            <wp:positionV relativeFrom="paragraph">
              <wp:posOffset>323215</wp:posOffset>
            </wp:positionV>
            <wp:extent cx="1319530" cy="36576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
                      <a:clrChange>
                        <a:clrFrom>
                          <a:srgbClr val="000000"/>
                        </a:clrFrom>
                        <a:clrTo>
                          <a:srgbClr val="000000">
                            <a:alpha val="0"/>
                          </a:srgbClr>
                        </a:clrTo>
                      </a:clrChange>
                      <a:extLst>
                        <a:ext uri="{28A0092B-C50C-407E-A947-70E740481C1C}"/>
                      </a:extLst>
                    </a:blip>
                    <a:srcRect/>
                    <a:stretch>
                      <a:fillRect/>
                    </a:stretch>
                  </pic:blipFill>
                  <pic:spPr bwMode="auto">
                    <a:xfrm>
                      <a:off x="0" y="0"/>
                      <a:ext cx="1319530" cy="365760"/>
                    </a:xfrm>
                    <a:prstGeom prst="rect">
                      <a:avLst/>
                    </a:prstGeom>
                    <a:noFill/>
                  </pic:spPr>
                </pic:pic>
              </a:graphicData>
            </a:graphic>
          </wp:anchor>
        </w:drawing>
        <w:drawing>
          <wp:anchor simplePos="0" relativeHeight="251657728" behindDoc="1" locked="0" layoutInCell="0" allowOverlap="1">
            <wp:simplePos x="0" y="0"/>
            <wp:positionH relativeFrom="column">
              <wp:posOffset>123825</wp:posOffset>
            </wp:positionH>
            <wp:positionV relativeFrom="paragraph">
              <wp:posOffset>323215</wp:posOffset>
            </wp:positionV>
            <wp:extent cx="1319530" cy="36576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clrChange>
                        <a:clrFrom>
                          <a:srgbClr val="FFFFFF"/>
                        </a:clrFrom>
                        <a:clrTo>
                          <a:srgbClr val="FFFFFF">
                            <a:alpha val="0"/>
                          </a:srgbClr>
                        </a:clrTo>
                      </a:clrChange>
                      <a:extLst>
                        <a:ext uri="{28A0092B-C50C-407E-A947-70E740481C1C}"/>
                      </a:extLst>
                    </a:blip>
                    <a:srcRect/>
                    <a:stretch>
                      <a:fillRect/>
                    </a:stretch>
                  </pic:blipFill>
                  <pic:spPr bwMode="auto">
                    <a:xfrm>
                      <a:off x="0" y="0"/>
                      <a:ext cx="1319530" cy="365760"/>
                    </a:xfrm>
                    <a:prstGeom prst="rect">
                      <a:avLst/>
                    </a:prstGeom>
                    <a:noFill/>
                  </pic:spPr>
                </pic:pic>
              </a:graphicData>
            </a:graphic>
          </wp:anchor>
        </w:drawing>
      </w:r>
    </w:p>
    <w:p>
      <w:pPr>
        <w:spacing w:after="0" w:line="200" w:lineRule="exact"/>
        <w:rPr>
          <w:sz w:val="20"/>
          <w:szCs w:val="20"/>
          <w:color w:val="auto"/>
        </w:rPr>
      </w:pPr>
    </w:p>
    <w:p>
      <w:pPr>
        <w:spacing w:after="0" w:line="290" w:lineRule="exact"/>
        <w:rPr>
          <w:sz w:val="20"/>
          <w:szCs w:val="20"/>
          <w:color w:val="auto"/>
        </w:rPr>
      </w:pPr>
    </w:p>
    <w:tbl>
      <w:tblPr>
        <w:tblLayout w:type="fixed"/>
        <w:tblInd w:w="20" w:type="dxa"/>
        <w:tblCellMar>
          <w:top w:w="0" w:type="dxa"/>
          <w:left w:w="0" w:type="dxa"/>
          <w:bottom w:w="0" w:type="dxa"/>
          <w:right w:w="0" w:type="dxa"/>
        </w:tblCellMar>
      </w:tblPr>
      <w:tr>
        <w:trPr>
          <w:trHeight w:val="171"/>
        </w:trPr>
        <w:tc>
          <w:tcPr>
            <w:tcW w:w="2420" w:type="dxa"/>
            <w:vAlign w:val="bottom"/>
            <w:gridSpan w:val="3"/>
          </w:tcPr>
          <w:p>
            <w:pPr>
              <w:ind w:left="320"/>
              <w:spacing w:after="0" w:line="172" w:lineRule="exact"/>
              <w:rPr>
                <w:sz w:val="20"/>
                <w:szCs w:val="20"/>
                <w:color w:val="auto"/>
              </w:rPr>
            </w:pPr>
            <w:r>
              <w:rPr>
                <w:rFonts w:ascii="宋体" w:cs="宋体" w:eastAsia="宋体" w:hAnsi="宋体"/>
                <w:sz w:val="15"/>
                <w:szCs w:val="15"/>
                <w:color w:val="auto"/>
              </w:rPr>
              <w:t>试验药与阳性对照药的</w:t>
            </w:r>
          </w:p>
        </w:tc>
        <w:tc>
          <w:tcPr>
            <w:tcW w:w="220" w:type="dxa"/>
            <w:vAlign w:val="bottom"/>
          </w:tcPr>
          <w:p>
            <w:pPr>
              <w:spacing w:after="0"/>
              <w:rPr>
                <w:sz w:val="14"/>
                <w:szCs w:val="14"/>
                <w:color w:val="auto"/>
              </w:rPr>
            </w:pPr>
          </w:p>
        </w:tc>
        <w:tc>
          <w:tcPr>
            <w:tcW w:w="20" w:type="dxa"/>
            <w:vAlign w:val="bottom"/>
          </w:tcPr>
          <w:p>
            <w:pPr>
              <w:spacing w:after="0"/>
              <w:rPr>
                <w:sz w:val="14"/>
                <w:szCs w:val="14"/>
                <w:color w:val="auto"/>
              </w:rPr>
            </w:pPr>
          </w:p>
        </w:tc>
        <w:tc>
          <w:tcPr>
            <w:tcW w:w="240" w:type="dxa"/>
            <w:vAlign w:val="bottom"/>
          </w:tcPr>
          <w:p>
            <w:pPr>
              <w:spacing w:after="0"/>
              <w:rPr>
                <w:sz w:val="14"/>
                <w:szCs w:val="14"/>
                <w:color w:val="auto"/>
              </w:rPr>
            </w:pPr>
          </w:p>
        </w:tc>
        <w:tc>
          <w:tcPr>
            <w:tcW w:w="660" w:type="dxa"/>
            <w:vAlign w:val="bottom"/>
          </w:tcPr>
          <w:p>
            <w:pPr>
              <w:spacing w:after="0"/>
              <w:rPr>
                <w:sz w:val="14"/>
                <w:szCs w:val="14"/>
                <w:color w:val="auto"/>
              </w:rPr>
            </w:pPr>
          </w:p>
        </w:tc>
        <w:tc>
          <w:tcPr>
            <w:tcW w:w="104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22"/>
        </w:trPr>
        <w:tc>
          <w:tcPr>
            <w:tcW w:w="1220" w:type="dxa"/>
            <w:vAlign w:val="bottom"/>
          </w:tcPr>
          <w:p>
            <w:pPr>
              <w:spacing w:after="0" w:line="20" w:lineRule="exact"/>
              <w:rPr>
                <w:sz w:val="1"/>
                <w:szCs w:val="1"/>
                <w:color w:val="auto"/>
              </w:rPr>
            </w:pPr>
          </w:p>
        </w:tc>
        <w:tc>
          <w:tcPr>
            <w:tcW w:w="1200" w:type="dxa"/>
            <w:vAlign w:val="bottom"/>
            <w:gridSpan w:val="2"/>
          </w:tcPr>
          <w:p>
            <w:pPr>
              <w:spacing w:after="0" w:line="20" w:lineRule="exact"/>
              <w:rPr>
                <w:sz w:val="1"/>
                <w:szCs w:val="1"/>
                <w:color w:val="auto"/>
              </w:rPr>
            </w:pPr>
          </w:p>
        </w:tc>
        <w:tc>
          <w:tcPr>
            <w:tcW w:w="220" w:type="dxa"/>
            <w:vAlign w:val="bottom"/>
          </w:tcPr>
          <w:p>
            <w:pPr>
              <w:spacing w:after="0" w:line="20" w:lineRule="exact"/>
              <w:rPr>
                <w:sz w:val="1"/>
                <w:szCs w:val="1"/>
                <w:color w:val="auto"/>
              </w:rPr>
            </w:pPr>
          </w:p>
        </w:tc>
        <w:tc>
          <w:tcPr>
            <w:tcW w:w="20" w:type="dxa"/>
            <w:vAlign w:val="bottom"/>
          </w:tcPr>
          <w:p>
            <w:pPr>
              <w:spacing w:after="0" w:line="20" w:lineRule="exact"/>
              <w:rPr>
                <w:sz w:val="1"/>
                <w:szCs w:val="1"/>
                <w:color w:val="auto"/>
              </w:rPr>
            </w:pPr>
          </w:p>
        </w:tc>
        <w:tc>
          <w:tcPr>
            <w:tcW w:w="1940" w:type="dxa"/>
            <w:vAlign w:val="bottom"/>
            <w:gridSpan w:val="3"/>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214"/>
        </w:trPr>
        <w:tc>
          <w:tcPr>
            <w:tcW w:w="2280" w:type="dxa"/>
            <w:vAlign w:val="bottom"/>
            <w:tcBorders>
              <w:right w:val="single" w:sz="8" w:color="auto"/>
            </w:tcBorders>
            <w:gridSpan w:val="2"/>
          </w:tcPr>
          <w:p>
            <w:pPr>
              <w:ind w:left="320"/>
              <w:spacing w:after="0" w:line="170" w:lineRule="exact"/>
              <w:rPr>
                <w:sz w:val="20"/>
                <w:szCs w:val="20"/>
                <w:color w:val="auto"/>
              </w:rPr>
            </w:pPr>
            <w:r>
              <w:rPr>
                <w:rFonts w:ascii="宋体" w:cs="宋体" w:eastAsia="宋体" w:hAnsi="宋体"/>
                <w:sz w:val="15"/>
                <w:szCs w:val="15"/>
                <w:color w:val="auto"/>
              </w:rPr>
              <w:t>非劣效试验中</w:t>
            </w:r>
          </w:p>
        </w:tc>
        <w:tc>
          <w:tcPr>
            <w:tcW w:w="140" w:type="dxa"/>
            <w:vAlign w:val="bottom"/>
          </w:tcPr>
          <w:p>
            <w:pPr>
              <w:spacing w:after="0"/>
              <w:rPr>
                <w:sz w:val="18"/>
                <w:szCs w:val="18"/>
                <w:color w:val="auto"/>
              </w:rPr>
            </w:pPr>
          </w:p>
        </w:tc>
        <w:tc>
          <w:tcPr>
            <w:tcW w:w="220" w:type="dxa"/>
            <w:vAlign w:val="bottom"/>
          </w:tcPr>
          <w:p>
            <w:pPr>
              <w:spacing w:after="0"/>
              <w:rPr>
                <w:sz w:val="18"/>
                <w:szCs w:val="18"/>
                <w:color w:val="auto"/>
              </w:rPr>
            </w:pPr>
          </w:p>
        </w:tc>
        <w:tc>
          <w:tcPr>
            <w:tcW w:w="20" w:type="dxa"/>
            <w:vAlign w:val="bottom"/>
          </w:tcPr>
          <w:p>
            <w:pPr>
              <w:spacing w:after="0"/>
              <w:rPr>
                <w:sz w:val="18"/>
                <w:szCs w:val="18"/>
                <w:color w:val="auto"/>
              </w:rPr>
            </w:pPr>
          </w:p>
        </w:tc>
        <w:tc>
          <w:tcPr>
            <w:tcW w:w="1940" w:type="dxa"/>
            <w:vAlign w:val="bottom"/>
            <w:gridSpan w:val="3"/>
          </w:tcPr>
          <w:p>
            <w:pPr>
              <w:ind w:left="200"/>
              <w:spacing w:after="0" w:line="183" w:lineRule="exact"/>
              <w:rPr>
                <w:sz w:val="20"/>
                <w:szCs w:val="20"/>
                <w:color w:val="auto"/>
              </w:rPr>
            </w:pPr>
            <w:r>
              <w:rPr>
                <w:rFonts w:ascii="Times New Roman" w:cs="Times New Roman" w:eastAsia="Times New Roman" w:hAnsi="Times New Roman"/>
                <w:sz w:val="15"/>
                <w:szCs w:val="15"/>
                <w:i w:val="1"/>
                <w:iCs w:val="1"/>
                <w:color w:val="auto"/>
              </w:rPr>
              <w:t>M</w:t>
            </w:r>
            <w:r>
              <w:rPr>
                <w:rFonts w:ascii="Times New Roman" w:cs="Times New Roman" w:eastAsia="Times New Roman" w:hAnsi="Times New Roman"/>
                <w:sz w:val="10"/>
                <w:szCs w:val="10"/>
                <w:color w:val="auto"/>
              </w:rPr>
              <w:t>1</w:t>
            </w:r>
            <w:r>
              <w:rPr>
                <w:rFonts w:ascii="Times New Roman" w:cs="Times New Roman" w:eastAsia="Times New Roman" w:hAnsi="Times New Roman"/>
                <w:sz w:val="15"/>
                <w:szCs w:val="15"/>
                <w:i w:val="1"/>
                <w:iCs w:val="1"/>
                <w:color w:val="auto"/>
              </w:rPr>
              <w:t xml:space="preserve">  </w:t>
            </w:r>
            <w:r>
              <w:rPr>
                <w:rFonts w:ascii="宋体" w:cs="宋体" w:eastAsia="宋体" w:hAnsi="宋体"/>
                <w:sz w:val="15"/>
                <w:szCs w:val="15"/>
                <w:color w:val="auto"/>
              </w:rPr>
              <w:t>为既往阳性对照药</w:t>
            </w:r>
          </w:p>
        </w:tc>
        <w:tc>
          <w:tcPr>
            <w:tcW w:w="0" w:type="dxa"/>
            <w:vAlign w:val="bottom"/>
          </w:tcPr>
          <w:p>
            <w:pPr>
              <w:spacing w:after="0"/>
              <w:rPr>
                <w:sz w:val="1"/>
                <w:szCs w:val="1"/>
                <w:color w:val="auto"/>
              </w:rPr>
            </w:pPr>
          </w:p>
        </w:tc>
      </w:tr>
      <w:tr>
        <w:trPr>
          <w:trHeight w:val="191"/>
        </w:trPr>
        <w:tc>
          <w:tcPr>
            <w:tcW w:w="2280" w:type="dxa"/>
            <w:vAlign w:val="bottom"/>
            <w:tcBorders>
              <w:right w:val="single" w:sz="8" w:color="auto"/>
            </w:tcBorders>
            <w:gridSpan w:val="2"/>
          </w:tcPr>
          <w:p>
            <w:pPr>
              <w:ind w:left="320"/>
              <w:spacing w:after="0" w:line="165" w:lineRule="exact"/>
              <w:rPr>
                <w:sz w:val="20"/>
                <w:szCs w:val="20"/>
                <w:color w:val="auto"/>
              </w:rPr>
            </w:pPr>
            <w:r>
              <w:rPr>
                <w:rFonts w:ascii="Times New Roman" w:cs="Times New Roman" w:eastAsia="Times New Roman" w:hAnsi="Times New Roman"/>
                <w:sz w:val="15"/>
                <w:szCs w:val="15"/>
                <w:i w:val="1"/>
                <w:iCs w:val="1"/>
                <w:color w:val="auto"/>
              </w:rPr>
              <w:t xml:space="preserve">T </w:t>
            </w:r>
            <w:r>
              <w:rPr>
                <w:rFonts w:ascii="Times New Roman" w:cs="Times New Roman" w:eastAsia="Times New Roman" w:hAnsi="Times New Roman"/>
                <w:sz w:val="15"/>
                <w:szCs w:val="15"/>
                <w:color w:val="auto"/>
              </w:rPr>
              <w:t>/</w:t>
            </w:r>
            <w:r>
              <w:rPr>
                <w:rFonts w:ascii="Times New Roman" w:cs="Times New Roman" w:eastAsia="Times New Roman" w:hAnsi="Times New Roman"/>
                <w:sz w:val="15"/>
                <w:szCs w:val="15"/>
                <w:i w:val="1"/>
                <w:iCs w:val="1"/>
                <w:color w:val="auto"/>
              </w:rPr>
              <w:t xml:space="preserve"> C </w:t>
            </w:r>
            <w:r>
              <w:rPr>
                <w:rFonts w:ascii="宋体" w:cs="宋体" w:eastAsia="宋体" w:hAnsi="宋体"/>
                <w:sz w:val="15"/>
                <w:szCs w:val="15"/>
                <w:color w:val="auto"/>
              </w:rPr>
              <w:t>的</w:t>
            </w:r>
            <w:r>
              <w:rPr>
                <w:rFonts w:ascii="Times New Roman" w:cs="Times New Roman" w:eastAsia="Times New Roman" w:hAnsi="Times New Roman"/>
                <w:sz w:val="15"/>
                <w:szCs w:val="15"/>
                <w:i w:val="1"/>
                <w:iCs w:val="1"/>
                <w:color w:val="auto"/>
              </w:rPr>
              <w:t xml:space="preserve"> </w:t>
            </w:r>
            <w:r>
              <w:rPr>
                <w:rFonts w:ascii="Times New Roman" w:cs="Times New Roman" w:eastAsia="Times New Roman" w:hAnsi="Times New Roman"/>
                <w:sz w:val="15"/>
                <w:szCs w:val="15"/>
                <w:color w:val="auto"/>
              </w:rPr>
              <w:t>95%</w:t>
            </w:r>
            <w:r>
              <w:rPr>
                <w:rFonts w:ascii="Times New Roman" w:cs="Times New Roman" w:eastAsia="Times New Roman" w:hAnsi="Times New Roman"/>
                <w:sz w:val="15"/>
                <w:szCs w:val="15"/>
                <w:i w:val="1"/>
                <w:iCs w:val="1"/>
                <w:color w:val="auto"/>
              </w:rPr>
              <w:t xml:space="preserve"> CI</w:t>
            </w:r>
          </w:p>
        </w:tc>
        <w:tc>
          <w:tcPr>
            <w:tcW w:w="140" w:type="dxa"/>
            <w:vAlign w:val="bottom"/>
          </w:tcPr>
          <w:p>
            <w:pPr>
              <w:spacing w:after="0"/>
              <w:rPr>
                <w:sz w:val="16"/>
                <w:szCs w:val="16"/>
                <w:color w:val="auto"/>
              </w:rPr>
            </w:pPr>
          </w:p>
        </w:tc>
        <w:tc>
          <w:tcPr>
            <w:tcW w:w="220" w:type="dxa"/>
            <w:vAlign w:val="bottom"/>
          </w:tcPr>
          <w:p>
            <w:pPr>
              <w:spacing w:after="0"/>
              <w:rPr>
                <w:sz w:val="16"/>
                <w:szCs w:val="16"/>
                <w:color w:val="auto"/>
              </w:rPr>
            </w:pPr>
          </w:p>
        </w:tc>
        <w:tc>
          <w:tcPr>
            <w:tcW w:w="20" w:type="dxa"/>
            <w:vAlign w:val="bottom"/>
          </w:tcPr>
          <w:p>
            <w:pPr>
              <w:spacing w:after="0"/>
              <w:rPr>
                <w:sz w:val="16"/>
                <w:szCs w:val="16"/>
                <w:color w:val="auto"/>
              </w:rPr>
            </w:pPr>
          </w:p>
        </w:tc>
        <w:tc>
          <w:tcPr>
            <w:tcW w:w="1940" w:type="dxa"/>
            <w:vAlign w:val="bottom"/>
            <w:gridSpan w:val="3"/>
          </w:tcPr>
          <w:p>
            <w:pPr>
              <w:ind w:left="200"/>
              <w:spacing w:after="0" w:line="172" w:lineRule="exact"/>
              <w:rPr>
                <w:sz w:val="20"/>
                <w:szCs w:val="20"/>
                <w:color w:val="auto"/>
              </w:rPr>
            </w:pPr>
            <w:r>
              <w:rPr>
                <w:rFonts w:ascii="宋体" w:cs="宋体" w:eastAsia="宋体" w:hAnsi="宋体"/>
                <w:sz w:val="15"/>
                <w:szCs w:val="15"/>
                <w:color w:val="auto"/>
              </w:rPr>
              <w:t>与安慰剂的优效试验中</w:t>
            </w:r>
          </w:p>
        </w:tc>
        <w:tc>
          <w:tcPr>
            <w:tcW w:w="0" w:type="dxa"/>
            <w:vAlign w:val="bottom"/>
          </w:tcPr>
          <w:p>
            <w:pPr>
              <w:spacing w:after="0"/>
              <w:rPr>
                <w:sz w:val="1"/>
                <w:szCs w:val="1"/>
                <w:color w:val="auto"/>
              </w:rPr>
            </w:pPr>
          </w:p>
        </w:tc>
      </w:tr>
      <w:tr>
        <w:trPr>
          <w:trHeight w:val="89"/>
        </w:trPr>
        <w:tc>
          <w:tcPr>
            <w:tcW w:w="1220" w:type="dxa"/>
            <w:vAlign w:val="bottom"/>
          </w:tcPr>
          <w:p>
            <w:pPr>
              <w:spacing w:after="0"/>
              <w:rPr>
                <w:sz w:val="7"/>
                <w:szCs w:val="7"/>
                <w:color w:val="auto"/>
              </w:rPr>
            </w:pPr>
          </w:p>
        </w:tc>
        <w:tc>
          <w:tcPr>
            <w:tcW w:w="106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220" w:type="dxa"/>
            <w:vAlign w:val="bottom"/>
            <w:vMerge w:val="restart"/>
          </w:tcPr>
          <w:p>
            <w:pPr>
              <w:spacing w:after="0"/>
              <w:rPr>
                <w:sz w:val="7"/>
                <w:szCs w:val="7"/>
                <w:color w:val="auto"/>
              </w:rPr>
            </w:pPr>
          </w:p>
        </w:tc>
        <w:tc>
          <w:tcPr>
            <w:tcW w:w="20" w:type="dxa"/>
            <w:vAlign w:val="bottom"/>
          </w:tcPr>
          <w:p>
            <w:pPr>
              <w:spacing w:after="0"/>
              <w:rPr>
                <w:sz w:val="7"/>
                <w:szCs w:val="7"/>
                <w:color w:val="auto"/>
              </w:rPr>
            </w:pPr>
          </w:p>
        </w:tc>
        <w:tc>
          <w:tcPr>
            <w:tcW w:w="1940" w:type="dxa"/>
            <w:vAlign w:val="bottom"/>
            <w:gridSpan w:val="3"/>
            <w:vMerge w:val="restart"/>
          </w:tcPr>
          <w:p>
            <w:pPr>
              <w:ind w:left="200"/>
              <w:spacing w:after="0" w:line="183" w:lineRule="exact"/>
              <w:rPr>
                <w:sz w:val="20"/>
                <w:szCs w:val="20"/>
                <w:color w:val="auto"/>
              </w:rPr>
            </w:pPr>
            <w:r>
              <w:rPr>
                <w:rFonts w:ascii="Times New Roman" w:cs="Times New Roman" w:eastAsia="Times New Roman" w:hAnsi="Times New Roman"/>
                <w:sz w:val="15"/>
                <w:szCs w:val="15"/>
                <w:i w:val="1"/>
                <w:iCs w:val="1"/>
                <w:color w:val="auto"/>
              </w:rPr>
              <w:t xml:space="preserve">C </w:t>
            </w:r>
            <w:r>
              <w:rPr>
                <w:rFonts w:ascii="Times New Roman" w:cs="Times New Roman" w:eastAsia="Times New Roman" w:hAnsi="Times New Roman"/>
                <w:sz w:val="15"/>
                <w:szCs w:val="15"/>
                <w:color w:val="auto"/>
              </w:rPr>
              <w:t>/</w:t>
            </w:r>
            <w:r>
              <w:rPr>
                <w:rFonts w:ascii="Times New Roman" w:cs="Times New Roman" w:eastAsia="Times New Roman" w:hAnsi="Times New Roman"/>
                <w:sz w:val="15"/>
                <w:szCs w:val="15"/>
                <w:i w:val="1"/>
                <w:iCs w:val="1"/>
                <w:color w:val="auto"/>
              </w:rPr>
              <w:t xml:space="preserve"> P </w:t>
            </w:r>
            <w:r>
              <w:rPr>
                <w:rFonts w:ascii="宋体" w:cs="宋体" w:eastAsia="宋体" w:hAnsi="宋体"/>
                <w:sz w:val="15"/>
                <w:szCs w:val="15"/>
                <w:color w:val="auto"/>
              </w:rPr>
              <w:t>的</w:t>
            </w:r>
            <w:r>
              <w:rPr>
                <w:rFonts w:ascii="Times New Roman" w:cs="Times New Roman" w:eastAsia="Times New Roman" w:hAnsi="Times New Roman"/>
                <w:sz w:val="15"/>
                <w:szCs w:val="15"/>
                <w:i w:val="1"/>
                <w:iCs w:val="1"/>
                <w:color w:val="auto"/>
              </w:rPr>
              <w:t xml:space="preserve"> </w:t>
            </w:r>
            <w:r>
              <w:rPr>
                <w:rFonts w:ascii="Times New Roman" w:cs="Times New Roman" w:eastAsia="Times New Roman" w:hAnsi="Times New Roman"/>
                <w:sz w:val="15"/>
                <w:szCs w:val="15"/>
                <w:color w:val="auto"/>
              </w:rPr>
              <w:t>95%</w:t>
            </w:r>
            <w:r>
              <w:rPr>
                <w:rFonts w:ascii="Times New Roman" w:cs="Times New Roman" w:eastAsia="Times New Roman" w:hAnsi="Times New Roman"/>
                <w:sz w:val="15"/>
                <w:szCs w:val="15"/>
                <w:i w:val="1"/>
                <w:iCs w:val="1"/>
                <w:color w:val="auto"/>
              </w:rPr>
              <w:t xml:space="preserve"> CI </w:t>
            </w:r>
            <w:r>
              <w:rPr>
                <w:rFonts w:ascii="宋体" w:cs="宋体" w:eastAsia="宋体" w:hAnsi="宋体"/>
                <w:sz w:val="15"/>
                <w:szCs w:val="15"/>
                <w:color w:val="auto"/>
              </w:rPr>
              <w:t>上限的</w:t>
            </w:r>
          </w:p>
        </w:tc>
        <w:tc>
          <w:tcPr>
            <w:tcW w:w="0" w:type="dxa"/>
            <w:vAlign w:val="bottom"/>
          </w:tcPr>
          <w:p>
            <w:pPr>
              <w:spacing w:after="0"/>
              <w:rPr>
                <w:sz w:val="1"/>
                <w:szCs w:val="1"/>
                <w:color w:val="auto"/>
              </w:rPr>
            </w:pPr>
          </w:p>
        </w:tc>
      </w:tr>
      <w:tr>
        <w:trPr>
          <w:trHeight w:val="115"/>
        </w:trPr>
        <w:tc>
          <w:tcPr>
            <w:tcW w:w="1220" w:type="dxa"/>
            <w:vAlign w:val="bottom"/>
            <w:tcBorders>
              <w:right w:val="single" w:sz="8" w:color="auto"/>
            </w:tcBorders>
          </w:tcPr>
          <w:p>
            <w:pPr>
              <w:spacing w:after="0"/>
              <w:rPr>
                <w:sz w:val="9"/>
                <w:szCs w:val="9"/>
                <w:color w:val="auto"/>
              </w:rPr>
            </w:pPr>
          </w:p>
        </w:tc>
        <w:tc>
          <w:tcPr>
            <w:tcW w:w="1060" w:type="dxa"/>
            <w:vAlign w:val="bottom"/>
            <w:tcBorders>
              <w:right w:val="single" w:sz="8" w:color="auto"/>
            </w:tcBorders>
          </w:tcPr>
          <w:p>
            <w:pPr>
              <w:spacing w:after="0"/>
              <w:rPr>
                <w:sz w:val="9"/>
                <w:szCs w:val="9"/>
                <w:color w:val="auto"/>
              </w:rPr>
            </w:pPr>
          </w:p>
        </w:tc>
        <w:tc>
          <w:tcPr>
            <w:tcW w:w="140" w:type="dxa"/>
            <w:vAlign w:val="bottom"/>
          </w:tcPr>
          <w:p>
            <w:pPr>
              <w:spacing w:after="0"/>
              <w:rPr>
                <w:sz w:val="9"/>
                <w:szCs w:val="9"/>
                <w:color w:val="auto"/>
              </w:rPr>
            </w:pPr>
          </w:p>
        </w:tc>
        <w:tc>
          <w:tcPr>
            <w:tcW w:w="220" w:type="dxa"/>
            <w:vAlign w:val="bottom"/>
            <w:vMerge w:val="continue"/>
          </w:tcPr>
          <w:p>
            <w:pPr>
              <w:spacing w:after="0"/>
              <w:rPr>
                <w:sz w:val="9"/>
                <w:szCs w:val="9"/>
                <w:color w:val="auto"/>
              </w:rPr>
            </w:pPr>
          </w:p>
        </w:tc>
        <w:tc>
          <w:tcPr>
            <w:tcW w:w="20" w:type="dxa"/>
            <w:vAlign w:val="bottom"/>
            <w:shd w:val="clear" w:color="auto" w:fill="000000"/>
          </w:tcPr>
          <w:p>
            <w:pPr>
              <w:spacing w:after="0"/>
              <w:rPr>
                <w:sz w:val="9"/>
                <w:szCs w:val="9"/>
                <w:color w:val="auto"/>
              </w:rPr>
            </w:pPr>
          </w:p>
        </w:tc>
        <w:tc>
          <w:tcPr>
            <w:tcW w:w="1940" w:type="dxa"/>
            <w:vAlign w:val="bottom"/>
            <w:gridSpan w:val="3"/>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03"/>
        </w:trPr>
        <w:tc>
          <w:tcPr>
            <w:tcW w:w="1220" w:type="dxa"/>
            <w:vAlign w:val="bottom"/>
            <w:tcBorders>
              <w:right w:val="single" w:sz="8" w:color="auto"/>
            </w:tcBorders>
          </w:tcPr>
          <w:p>
            <w:pPr>
              <w:spacing w:after="0"/>
              <w:rPr>
                <w:sz w:val="8"/>
                <w:szCs w:val="8"/>
                <w:color w:val="auto"/>
              </w:rPr>
            </w:pPr>
          </w:p>
        </w:tc>
        <w:tc>
          <w:tcPr>
            <w:tcW w:w="106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220" w:type="dxa"/>
            <w:vAlign w:val="bottom"/>
          </w:tcPr>
          <w:p>
            <w:pPr>
              <w:spacing w:after="0"/>
              <w:rPr>
                <w:sz w:val="8"/>
                <w:szCs w:val="8"/>
                <w:color w:val="auto"/>
              </w:rPr>
            </w:pPr>
          </w:p>
        </w:tc>
        <w:tc>
          <w:tcPr>
            <w:tcW w:w="20" w:type="dxa"/>
            <w:vAlign w:val="bottom"/>
            <w:shd w:val="clear" w:color="auto" w:fill="000000"/>
          </w:tcPr>
          <w:p>
            <w:pPr>
              <w:spacing w:after="0"/>
              <w:rPr>
                <w:sz w:val="8"/>
                <w:szCs w:val="8"/>
                <w:color w:val="auto"/>
              </w:rPr>
            </w:pPr>
          </w:p>
        </w:tc>
        <w:tc>
          <w:tcPr>
            <w:tcW w:w="1940" w:type="dxa"/>
            <w:vAlign w:val="bottom"/>
            <w:gridSpan w:val="3"/>
            <w:vMerge w:val="restart"/>
          </w:tcPr>
          <w:p>
            <w:pPr>
              <w:ind w:left="200"/>
              <w:spacing w:after="0" w:line="172" w:lineRule="exact"/>
              <w:rPr>
                <w:sz w:val="20"/>
                <w:szCs w:val="20"/>
                <w:color w:val="auto"/>
              </w:rPr>
            </w:pPr>
            <w:r>
              <w:rPr>
                <w:rFonts w:ascii="宋体" w:cs="宋体" w:eastAsia="宋体" w:hAnsi="宋体"/>
                <w:sz w:val="15"/>
                <w:szCs w:val="15"/>
                <w:color w:val="auto"/>
              </w:rPr>
              <w:t>倒数</w:t>
            </w:r>
          </w:p>
        </w:tc>
        <w:tc>
          <w:tcPr>
            <w:tcW w:w="0" w:type="dxa"/>
            <w:vAlign w:val="bottom"/>
          </w:tcPr>
          <w:p>
            <w:pPr>
              <w:spacing w:after="0"/>
              <w:rPr>
                <w:sz w:val="1"/>
                <w:szCs w:val="1"/>
                <w:color w:val="auto"/>
              </w:rPr>
            </w:pPr>
          </w:p>
        </w:tc>
      </w:tr>
      <w:tr>
        <w:trPr>
          <w:trHeight w:val="87"/>
        </w:trPr>
        <w:tc>
          <w:tcPr>
            <w:tcW w:w="1220" w:type="dxa"/>
            <w:vAlign w:val="bottom"/>
          </w:tcPr>
          <w:p>
            <w:pPr>
              <w:spacing w:after="0"/>
              <w:rPr>
                <w:sz w:val="7"/>
                <w:szCs w:val="7"/>
                <w:color w:val="auto"/>
              </w:rPr>
            </w:pPr>
          </w:p>
        </w:tc>
        <w:tc>
          <w:tcPr>
            <w:tcW w:w="106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220" w:type="dxa"/>
            <w:vAlign w:val="bottom"/>
          </w:tcPr>
          <w:p>
            <w:pPr>
              <w:spacing w:after="0"/>
              <w:rPr>
                <w:sz w:val="7"/>
                <w:szCs w:val="7"/>
                <w:color w:val="auto"/>
              </w:rPr>
            </w:pPr>
          </w:p>
        </w:tc>
        <w:tc>
          <w:tcPr>
            <w:tcW w:w="20" w:type="dxa"/>
            <w:vAlign w:val="bottom"/>
          </w:tcPr>
          <w:p>
            <w:pPr>
              <w:spacing w:after="0"/>
              <w:rPr>
                <w:sz w:val="7"/>
                <w:szCs w:val="7"/>
                <w:color w:val="auto"/>
              </w:rPr>
            </w:pPr>
          </w:p>
        </w:tc>
        <w:tc>
          <w:tcPr>
            <w:tcW w:w="1940" w:type="dxa"/>
            <w:vAlign w:val="bottom"/>
            <w:gridSpan w:val="3"/>
            <w:vMerge w:val="continue"/>
          </w:tcPr>
          <w:p>
            <w:pPr>
              <w:spacing w:after="0"/>
              <w:rPr>
                <w:sz w:val="7"/>
                <w:szCs w:val="7"/>
                <w:color w:val="auto"/>
              </w:rPr>
            </w:pPr>
          </w:p>
        </w:tc>
        <w:tc>
          <w:tcPr>
            <w:tcW w:w="0" w:type="dxa"/>
            <w:vAlign w:val="bottom"/>
          </w:tcPr>
          <w:p>
            <w:pPr>
              <w:spacing w:after="0"/>
              <w:rPr>
                <w:sz w:val="1"/>
                <w:szCs w:val="1"/>
                <w:color w:val="auto"/>
              </w:rPr>
            </w:pPr>
          </w:p>
        </w:tc>
      </w:tr>
      <w:tr>
        <w:trPr>
          <w:trHeight w:val="298"/>
        </w:trPr>
        <w:tc>
          <w:tcPr>
            <w:tcW w:w="1220" w:type="dxa"/>
            <w:vAlign w:val="bottom"/>
          </w:tcPr>
          <w:p>
            <w:pPr>
              <w:spacing w:after="0"/>
              <w:rPr>
                <w:sz w:val="24"/>
                <w:szCs w:val="24"/>
                <w:color w:val="auto"/>
              </w:rPr>
            </w:pPr>
          </w:p>
        </w:tc>
        <w:tc>
          <w:tcPr>
            <w:tcW w:w="1060" w:type="dxa"/>
            <w:vAlign w:val="bottom"/>
            <w:tcBorders>
              <w:right w:val="single" w:sz="8" w:color="auto"/>
            </w:tcBorders>
          </w:tcPr>
          <w:p>
            <w:pPr>
              <w:spacing w:after="0"/>
              <w:rPr>
                <w:sz w:val="24"/>
                <w:szCs w:val="24"/>
                <w:color w:val="auto"/>
              </w:rPr>
            </w:pPr>
          </w:p>
        </w:tc>
        <w:tc>
          <w:tcPr>
            <w:tcW w:w="140" w:type="dxa"/>
            <w:vAlign w:val="bottom"/>
          </w:tcPr>
          <w:p>
            <w:pPr>
              <w:spacing w:after="0"/>
              <w:rPr>
                <w:sz w:val="24"/>
                <w:szCs w:val="24"/>
                <w:color w:val="auto"/>
              </w:rPr>
            </w:pPr>
          </w:p>
        </w:tc>
        <w:tc>
          <w:tcPr>
            <w:tcW w:w="2180" w:type="dxa"/>
            <w:vAlign w:val="bottom"/>
            <w:gridSpan w:val="5"/>
          </w:tcPr>
          <w:p>
            <w:pPr>
              <w:ind w:left="80"/>
              <w:spacing w:after="0" w:line="172" w:lineRule="exact"/>
              <w:rPr>
                <w:sz w:val="20"/>
                <w:szCs w:val="20"/>
                <w:color w:val="auto"/>
              </w:rPr>
            </w:pPr>
            <w:r>
              <w:rPr>
                <w:rFonts w:ascii="宋体" w:cs="宋体" w:eastAsia="宋体" w:hAnsi="宋体"/>
                <w:sz w:val="15"/>
                <w:szCs w:val="15"/>
                <w:color w:val="auto"/>
              </w:rPr>
              <w:t>非劣效界值</w:t>
            </w:r>
          </w:p>
        </w:tc>
        <w:tc>
          <w:tcPr>
            <w:tcW w:w="0" w:type="dxa"/>
            <w:vAlign w:val="bottom"/>
          </w:tcPr>
          <w:p>
            <w:pPr>
              <w:spacing w:after="0"/>
              <w:rPr>
                <w:sz w:val="1"/>
                <w:szCs w:val="1"/>
                <w:color w:val="auto"/>
              </w:rPr>
            </w:pPr>
          </w:p>
        </w:tc>
      </w:tr>
      <w:tr>
        <w:trPr>
          <w:trHeight w:val="36"/>
        </w:trPr>
        <w:tc>
          <w:tcPr>
            <w:tcW w:w="1220" w:type="dxa"/>
            <w:vAlign w:val="bottom"/>
          </w:tcPr>
          <w:p>
            <w:pPr>
              <w:spacing w:after="0"/>
              <w:rPr>
                <w:sz w:val="3"/>
                <w:szCs w:val="3"/>
                <w:color w:val="auto"/>
              </w:rPr>
            </w:pPr>
          </w:p>
        </w:tc>
        <w:tc>
          <w:tcPr>
            <w:tcW w:w="1060" w:type="dxa"/>
            <w:vAlign w:val="bottom"/>
            <w:tcBorders>
              <w:right w:val="single" w:sz="8" w:color="auto"/>
            </w:tcBorders>
          </w:tcPr>
          <w:p>
            <w:pPr>
              <w:spacing w:after="0"/>
              <w:rPr>
                <w:sz w:val="3"/>
                <w:szCs w:val="3"/>
                <w:color w:val="auto"/>
              </w:rPr>
            </w:pPr>
          </w:p>
        </w:tc>
        <w:tc>
          <w:tcPr>
            <w:tcW w:w="140" w:type="dxa"/>
            <w:vAlign w:val="bottom"/>
          </w:tcPr>
          <w:p>
            <w:pPr>
              <w:spacing w:after="0"/>
              <w:rPr>
                <w:sz w:val="3"/>
                <w:szCs w:val="3"/>
                <w:color w:val="auto"/>
              </w:rPr>
            </w:pPr>
          </w:p>
        </w:tc>
        <w:tc>
          <w:tcPr>
            <w:tcW w:w="220" w:type="dxa"/>
            <w:vAlign w:val="bottom"/>
          </w:tcPr>
          <w:p>
            <w:pPr>
              <w:spacing w:after="0"/>
              <w:rPr>
                <w:sz w:val="3"/>
                <w:szCs w:val="3"/>
                <w:color w:val="auto"/>
              </w:rPr>
            </w:pPr>
          </w:p>
        </w:tc>
        <w:tc>
          <w:tcPr>
            <w:tcW w:w="20" w:type="dxa"/>
            <w:vAlign w:val="bottom"/>
          </w:tcPr>
          <w:p>
            <w:pPr>
              <w:spacing w:after="0"/>
              <w:rPr>
                <w:sz w:val="3"/>
                <w:szCs w:val="3"/>
                <w:color w:val="auto"/>
              </w:rPr>
            </w:pPr>
          </w:p>
        </w:tc>
        <w:tc>
          <w:tcPr>
            <w:tcW w:w="240" w:type="dxa"/>
            <w:vAlign w:val="bottom"/>
          </w:tcPr>
          <w:p>
            <w:pPr>
              <w:spacing w:after="0"/>
              <w:rPr>
                <w:sz w:val="3"/>
                <w:szCs w:val="3"/>
                <w:color w:val="auto"/>
              </w:rPr>
            </w:pPr>
          </w:p>
        </w:tc>
        <w:tc>
          <w:tcPr>
            <w:tcW w:w="660" w:type="dxa"/>
            <w:vAlign w:val="bottom"/>
          </w:tcPr>
          <w:p>
            <w:pPr>
              <w:spacing w:after="0"/>
              <w:rPr>
                <w:sz w:val="3"/>
                <w:szCs w:val="3"/>
                <w:color w:val="auto"/>
              </w:rPr>
            </w:pPr>
          </w:p>
        </w:tc>
        <w:tc>
          <w:tcPr>
            <w:tcW w:w="1040" w:type="dxa"/>
            <w:vAlign w:val="bottom"/>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63"/>
        </w:trPr>
        <w:tc>
          <w:tcPr>
            <w:tcW w:w="1220" w:type="dxa"/>
            <w:vAlign w:val="bottom"/>
          </w:tcPr>
          <w:p>
            <w:pPr>
              <w:spacing w:after="0"/>
              <w:rPr>
                <w:sz w:val="5"/>
                <w:szCs w:val="5"/>
                <w:color w:val="auto"/>
              </w:rPr>
            </w:pPr>
          </w:p>
        </w:tc>
        <w:tc>
          <w:tcPr>
            <w:tcW w:w="1060" w:type="dxa"/>
            <w:vAlign w:val="bottom"/>
            <w:tcBorders>
              <w:right w:val="single" w:sz="8" w:color="auto"/>
            </w:tcBorders>
          </w:tcPr>
          <w:p>
            <w:pPr>
              <w:spacing w:after="0"/>
              <w:rPr>
                <w:sz w:val="5"/>
                <w:szCs w:val="5"/>
                <w:color w:val="auto"/>
              </w:rPr>
            </w:pPr>
          </w:p>
        </w:tc>
        <w:tc>
          <w:tcPr>
            <w:tcW w:w="140" w:type="dxa"/>
            <w:vAlign w:val="bottom"/>
          </w:tcPr>
          <w:p>
            <w:pPr>
              <w:spacing w:after="0"/>
              <w:rPr>
                <w:sz w:val="5"/>
                <w:szCs w:val="5"/>
                <w:color w:val="auto"/>
              </w:rPr>
            </w:pPr>
          </w:p>
        </w:tc>
        <w:tc>
          <w:tcPr>
            <w:tcW w:w="220" w:type="dxa"/>
            <w:vAlign w:val="bottom"/>
          </w:tcPr>
          <w:p>
            <w:pPr>
              <w:spacing w:after="0"/>
              <w:rPr>
                <w:sz w:val="5"/>
                <w:szCs w:val="5"/>
                <w:color w:val="auto"/>
              </w:rPr>
            </w:pPr>
          </w:p>
        </w:tc>
        <w:tc>
          <w:tcPr>
            <w:tcW w:w="20" w:type="dxa"/>
            <w:vAlign w:val="bottom"/>
          </w:tcPr>
          <w:p>
            <w:pPr>
              <w:spacing w:after="0"/>
              <w:rPr>
                <w:sz w:val="5"/>
                <w:szCs w:val="5"/>
                <w:color w:val="auto"/>
              </w:rPr>
            </w:pPr>
          </w:p>
        </w:tc>
        <w:tc>
          <w:tcPr>
            <w:tcW w:w="240" w:type="dxa"/>
            <w:vAlign w:val="bottom"/>
            <w:tcBorders>
              <w:right w:val="single" w:sz="8" w:color="auto"/>
            </w:tcBorders>
          </w:tcPr>
          <w:p>
            <w:pPr>
              <w:spacing w:after="0"/>
              <w:rPr>
                <w:sz w:val="5"/>
                <w:szCs w:val="5"/>
                <w:color w:val="auto"/>
              </w:rPr>
            </w:pPr>
          </w:p>
        </w:tc>
        <w:tc>
          <w:tcPr>
            <w:tcW w:w="660" w:type="dxa"/>
            <w:vAlign w:val="bottom"/>
            <w:tcBorders>
              <w:right w:val="single" w:sz="8" w:color="auto"/>
            </w:tcBorders>
          </w:tcPr>
          <w:p>
            <w:pPr>
              <w:spacing w:after="0"/>
              <w:rPr>
                <w:sz w:val="5"/>
                <w:szCs w:val="5"/>
                <w:color w:val="auto"/>
              </w:rPr>
            </w:pPr>
          </w:p>
        </w:tc>
        <w:tc>
          <w:tcPr>
            <w:tcW w:w="104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131"/>
        </w:trPr>
        <w:tc>
          <w:tcPr>
            <w:tcW w:w="1220" w:type="dxa"/>
            <w:vAlign w:val="bottom"/>
            <w:tcBorders>
              <w:bottom w:val="single" w:sz="8" w:color="auto"/>
            </w:tcBorders>
          </w:tcPr>
          <w:p>
            <w:pPr>
              <w:spacing w:after="0"/>
              <w:rPr>
                <w:sz w:val="11"/>
                <w:szCs w:val="11"/>
                <w:color w:val="auto"/>
              </w:rPr>
            </w:pPr>
          </w:p>
        </w:tc>
        <w:tc>
          <w:tcPr>
            <w:tcW w:w="1060" w:type="dxa"/>
            <w:vAlign w:val="bottom"/>
            <w:tcBorders>
              <w:bottom w:val="single" w:sz="8" w:color="auto"/>
            </w:tcBorders>
          </w:tcPr>
          <w:p>
            <w:pPr>
              <w:spacing w:after="0"/>
              <w:rPr>
                <w:sz w:val="11"/>
                <w:szCs w:val="11"/>
                <w:color w:val="auto"/>
              </w:rPr>
            </w:pPr>
          </w:p>
        </w:tc>
        <w:tc>
          <w:tcPr>
            <w:tcW w:w="140" w:type="dxa"/>
            <w:vAlign w:val="bottom"/>
            <w:tcBorders>
              <w:bottom w:val="single" w:sz="8" w:color="auto"/>
            </w:tcBorders>
          </w:tcPr>
          <w:p>
            <w:pPr>
              <w:spacing w:after="0"/>
              <w:rPr>
                <w:sz w:val="11"/>
                <w:szCs w:val="11"/>
                <w:color w:val="auto"/>
              </w:rPr>
            </w:pPr>
          </w:p>
        </w:tc>
        <w:tc>
          <w:tcPr>
            <w:tcW w:w="220" w:type="dxa"/>
            <w:vAlign w:val="bottom"/>
            <w:tcBorders>
              <w:bottom w:val="single" w:sz="8" w:color="auto"/>
            </w:tcBorders>
          </w:tcPr>
          <w:p>
            <w:pPr>
              <w:spacing w:after="0"/>
              <w:rPr>
                <w:sz w:val="11"/>
                <w:szCs w:val="11"/>
                <w:color w:val="auto"/>
              </w:rPr>
            </w:pPr>
          </w:p>
        </w:tc>
        <w:tc>
          <w:tcPr>
            <w:tcW w:w="20" w:type="dxa"/>
            <w:vAlign w:val="bottom"/>
            <w:tcBorders>
              <w:bottom w:val="single" w:sz="8" w:color="auto"/>
            </w:tcBorders>
          </w:tcPr>
          <w:p>
            <w:pPr>
              <w:spacing w:after="0"/>
              <w:rPr>
                <w:sz w:val="11"/>
                <w:szCs w:val="11"/>
                <w:color w:val="auto"/>
              </w:rPr>
            </w:pPr>
          </w:p>
        </w:tc>
        <w:tc>
          <w:tcPr>
            <w:tcW w:w="240" w:type="dxa"/>
            <w:vAlign w:val="bottom"/>
            <w:tcBorders>
              <w:bottom w:val="single" w:sz="8" w:color="auto"/>
              <w:right w:val="single" w:sz="8" w:color="auto"/>
            </w:tcBorders>
          </w:tcPr>
          <w:p>
            <w:pPr>
              <w:spacing w:after="0"/>
              <w:rPr>
                <w:sz w:val="11"/>
                <w:szCs w:val="11"/>
                <w:color w:val="auto"/>
              </w:rPr>
            </w:pPr>
          </w:p>
        </w:tc>
        <w:tc>
          <w:tcPr>
            <w:tcW w:w="660" w:type="dxa"/>
            <w:vAlign w:val="bottom"/>
            <w:tcBorders>
              <w:bottom w:val="single" w:sz="8" w:color="auto"/>
              <w:right w:val="single" w:sz="8" w:color="auto"/>
            </w:tcBorders>
          </w:tcPr>
          <w:p>
            <w:pPr>
              <w:spacing w:after="0"/>
              <w:rPr>
                <w:sz w:val="11"/>
                <w:szCs w:val="11"/>
                <w:color w:val="auto"/>
              </w:rPr>
            </w:pPr>
          </w:p>
        </w:tc>
        <w:tc>
          <w:tcPr>
            <w:tcW w:w="1040" w:type="dxa"/>
            <w:vAlign w:val="bottom"/>
            <w:tcBorders>
              <w:bottom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87"/>
        </w:trPr>
        <w:tc>
          <w:tcPr>
            <w:tcW w:w="2420" w:type="dxa"/>
            <w:vAlign w:val="bottom"/>
            <w:gridSpan w:val="3"/>
          </w:tcPr>
          <w:p>
            <w:pPr>
              <w:jc w:val="right"/>
              <w:ind w:right="100"/>
              <w:spacing w:after="0"/>
              <w:rPr>
                <w:sz w:val="20"/>
                <w:szCs w:val="20"/>
                <w:color w:val="auto"/>
              </w:rPr>
            </w:pPr>
            <w:r>
              <w:rPr>
                <w:rFonts w:ascii="Times New Roman" w:cs="Times New Roman" w:eastAsia="Times New Roman" w:hAnsi="Times New Roman"/>
                <w:sz w:val="21"/>
                <w:szCs w:val="21"/>
                <w:b w:val="1"/>
                <w:bCs w:val="1"/>
                <w:color w:val="auto"/>
              </w:rPr>
              <w:t>1</w:t>
            </w:r>
          </w:p>
        </w:tc>
        <w:tc>
          <w:tcPr>
            <w:tcW w:w="22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1940" w:type="dxa"/>
            <w:vAlign w:val="bottom"/>
            <w:gridSpan w:val="3"/>
          </w:tcPr>
          <w:p>
            <w:pPr>
              <w:ind w:left="120"/>
              <w:spacing w:after="0"/>
              <w:rPr>
                <w:sz w:val="20"/>
                <w:szCs w:val="20"/>
                <w:color w:val="auto"/>
              </w:rPr>
            </w:pPr>
            <w:r>
              <w:rPr>
                <w:rFonts w:ascii="Times New Roman" w:cs="Times New Roman" w:eastAsia="Times New Roman" w:hAnsi="Times New Roman"/>
                <w:sz w:val="21"/>
                <w:szCs w:val="21"/>
                <w:i w:val="1"/>
                <w:iCs w:val="1"/>
                <w:color w:val="auto"/>
                <w:w w:val="99"/>
              </w:rPr>
              <w:t>M</w:t>
            </w:r>
            <w:r>
              <w:rPr>
                <w:rFonts w:ascii="Times New Roman" w:cs="Times New Roman" w:eastAsia="Times New Roman" w:hAnsi="Times New Roman"/>
                <w:sz w:val="13"/>
                <w:szCs w:val="13"/>
                <w:color w:val="auto"/>
                <w:w w:val="99"/>
              </w:rPr>
              <w:t>2</w:t>
            </w:r>
            <w:r>
              <w:rPr>
                <w:rFonts w:ascii="Times New Roman" w:cs="Times New Roman" w:eastAsia="Times New Roman" w:hAnsi="Times New Roman"/>
                <w:sz w:val="21"/>
                <w:szCs w:val="21"/>
                <w:i w:val="1"/>
                <w:iCs w:val="1"/>
                <w:color w:val="auto"/>
                <w:w w:val="99"/>
              </w:rPr>
              <w:t>M</w:t>
            </w:r>
            <w:r>
              <w:rPr>
                <w:rFonts w:ascii="Times New Roman" w:cs="Times New Roman" w:eastAsia="Times New Roman" w:hAnsi="Times New Roman"/>
                <w:sz w:val="13"/>
                <w:szCs w:val="13"/>
                <w:color w:val="auto"/>
                <w:w w:val="99"/>
              </w:rPr>
              <w:t>1</w:t>
            </w: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-1472565</wp:posOffset>
                </wp:positionH>
                <wp:positionV relativeFrom="paragraph">
                  <wp:posOffset>203200</wp:posOffset>
                </wp:positionV>
                <wp:extent cx="5278120" cy="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2781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5.9499pt,16pt" to="299.65pt,16pt" o:allowincell="f" strokecolor="#000000" strokeweight="0.4799pt"/>
            </w:pict>
          </mc:Fallback>
        </mc:AlternateContent>
        <w:drawing>
          <wp:anchor simplePos="0" relativeHeight="251657728" behindDoc="1" locked="0" layoutInCell="0" allowOverlap="1">
            <wp:simplePos x="0" y="0"/>
            <wp:positionH relativeFrom="column">
              <wp:posOffset>781050</wp:posOffset>
            </wp:positionH>
            <wp:positionV relativeFrom="paragraph">
              <wp:posOffset>-1014095</wp:posOffset>
            </wp:positionV>
            <wp:extent cx="2110740" cy="99949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a:clrChange>
                        <a:clrFrom>
                          <a:srgbClr val="000000"/>
                        </a:clrFrom>
                        <a:clrTo>
                          <a:srgbClr val="000000">
                            <a:alpha val="0"/>
                          </a:srgbClr>
                        </a:clrTo>
                      </a:clrChange>
                      <a:extLst>
                        <a:ext uri="{28A0092B-C50C-407E-A947-70E740481C1C}"/>
                      </a:extLst>
                    </a:blip>
                    <a:srcRect/>
                    <a:stretch>
                      <a:fillRect/>
                    </a:stretch>
                  </pic:blipFill>
                  <pic:spPr bwMode="auto">
                    <a:xfrm>
                      <a:off x="0" y="0"/>
                      <a:ext cx="2110740" cy="999490"/>
                    </a:xfrm>
                    <a:prstGeom prst="rect">
                      <a:avLst/>
                    </a:prstGeom>
                    <a:noFill/>
                  </pic:spPr>
                </pic:pic>
              </a:graphicData>
            </a:graphic>
          </wp:anchor>
        </w:drawing>
        <w:drawing>
          <wp:anchor simplePos="0" relativeHeight="251657728" behindDoc="1" locked="0" layoutInCell="0" allowOverlap="1">
            <wp:simplePos x="0" y="0"/>
            <wp:positionH relativeFrom="column">
              <wp:posOffset>781050</wp:posOffset>
            </wp:positionH>
            <wp:positionV relativeFrom="paragraph">
              <wp:posOffset>-1014095</wp:posOffset>
            </wp:positionV>
            <wp:extent cx="2110740" cy="99949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8">
                      <a:clrChange>
                        <a:clrFrom>
                          <a:srgbClr val="FFFFFF"/>
                        </a:clrFrom>
                        <a:clrTo>
                          <a:srgbClr val="FFFFFF">
                            <a:alpha val="0"/>
                          </a:srgbClr>
                        </a:clrTo>
                      </a:clrChange>
                      <a:extLst>
                        <a:ext uri="{28A0092B-C50C-407E-A947-70E740481C1C}"/>
                      </a:extLst>
                    </a:blip>
                    <a:srcRect/>
                    <a:stretch>
                      <a:fillRect/>
                    </a:stretch>
                  </pic:blipFill>
                  <pic:spPr bwMode="auto">
                    <a:xfrm>
                      <a:off x="0" y="0"/>
                      <a:ext cx="2110740" cy="999490"/>
                    </a:xfrm>
                    <a:prstGeom prst="rect">
                      <a:avLst/>
                    </a:prstGeom>
                    <a:noFill/>
                  </pic:spPr>
                </pic:pic>
              </a:graphicData>
            </a:graphic>
          </wp:anchor>
        </w:drawing>
      </w:r>
    </w:p>
    <w:p>
      <w:pPr>
        <w:spacing w:after="0" w:line="200" w:lineRule="exact"/>
        <w:rPr>
          <w:sz w:val="20"/>
          <w:szCs w:val="20"/>
          <w:color w:val="auto"/>
        </w:rPr>
      </w:pPr>
    </w:p>
    <w:p>
      <w:pPr>
        <w:sectPr>
          <w:pgSz w:w="11900" w:h="16838" w:orient="portrait"/>
          <w:cols w:equalWidth="0" w:num="2">
            <w:col w:w="1960" w:space="720"/>
            <w:col w:w="6344"/>
          </w:cols>
          <w:pgMar w:left="1440" w:top="1440" w:right="1440" w:bottom="433" w:gutter="0" w:footer="0" w:header="0"/>
          <w:type w:val="continuous"/>
        </w:sectPr>
      </w:pPr>
    </w:p>
    <w:p>
      <w:pPr>
        <w:spacing w:after="0" w:line="124" w:lineRule="exact"/>
        <w:rPr>
          <w:sz w:val="20"/>
          <w:szCs w:val="20"/>
          <w:color w:val="auto"/>
        </w:rPr>
      </w:pPr>
    </w:p>
    <w:p>
      <w:pPr>
        <w:ind w:left="360"/>
        <w:spacing w:after="0" w:line="292" w:lineRule="exact"/>
        <w:rPr>
          <w:sz w:val="20"/>
          <w:szCs w:val="20"/>
          <w:color w:val="auto"/>
        </w:rPr>
      </w:pPr>
      <w:r>
        <w:rPr>
          <w:rFonts w:ascii="宋体" w:cs="宋体" w:eastAsia="宋体" w:hAnsi="宋体"/>
          <w:sz w:val="24"/>
          <w:szCs w:val="24"/>
          <w:color w:val="auto"/>
        </w:rPr>
        <w:t>注：</w:t>
      </w:r>
      <w:r>
        <w:rPr>
          <w:rFonts w:ascii="Times New Roman" w:cs="Times New Roman" w:eastAsia="Times New Roman" w:hAnsi="Times New Roman"/>
          <w:sz w:val="24"/>
          <w:szCs w:val="24"/>
          <w:i w:val="1"/>
          <w:iCs w:val="1"/>
          <w:color w:val="auto"/>
        </w:rPr>
        <w:t xml:space="preserve">T </w:t>
      </w:r>
      <w:r>
        <w:rPr>
          <w:rFonts w:ascii="宋体" w:cs="宋体" w:eastAsia="宋体" w:hAnsi="宋体"/>
          <w:sz w:val="24"/>
          <w:szCs w:val="24"/>
          <w:color w:val="auto"/>
        </w:rPr>
        <w:t>指试验药，</w:t>
      </w:r>
      <w:r>
        <w:rPr>
          <w:rFonts w:ascii="Times New Roman" w:cs="Times New Roman" w:eastAsia="Times New Roman" w:hAnsi="Times New Roman"/>
          <w:sz w:val="24"/>
          <w:szCs w:val="24"/>
          <w:i w:val="1"/>
          <w:iCs w:val="1"/>
          <w:color w:val="auto"/>
        </w:rPr>
        <w:t xml:space="preserve">C </w:t>
      </w:r>
      <w:r>
        <w:rPr>
          <w:rFonts w:ascii="宋体" w:cs="宋体" w:eastAsia="宋体" w:hAnsi="宋体"/>
          <w:sz w:val="24"/>
          <w:szCs w:val="24"/>
          <w:color w:val="auto"/>
        </w:rPr>
        <w:t>指阳性对照药，</w:t>
      </w:r>
      <w:r>
        <w:rPr>
          <w:rFonts w:ascii="Times New Roman" w:cs="Times New Roman" w:eastAsia="Times New Roman" w:hAnsi="Times New Roman"/>
          <w:sz w:val="24"/>
          <w:szCs w:val="24"/>
          <w:i w:val="1"/>
          <w:iCs w:val="1"/>
          <w:color w:val="auto"/>
        </w:rPr>
        <w:t xml:space="preserve">P </w:t>
      </w:r>
      <w:r>
        <w:rPr>
          <w:rFonts w:ascii="宋体" w:cs="宋体" w:eastAsia="宋体" w:hAnsi="宋体"/>
          <w:sz w:val="24"/>
          <w:szCs w:val="24"/>
          <w:color w:val="auto"/>
        </w:rPr>
        <w:t>指安慰剂，</w:t>
      </w:r>
      <w:r>
        <w:rPr>
          <w:rFonts w:ascii="Times New Roman" w:cs="Times New Roman" w:eastAsia="Times New Roman" w:hAnsi="Times New Roman"/>
          <w:sz w:val="24"/>
          <w:szCs w:val="24"/>
          <w:i w:val="1"/>
          <w:iCs w:val="1"/>
          <w:color w:val="auto"/>
        </w:rPr>
        <w:t xml:space="preserve">CI </w:t>
      </w:r>
      <w:r>
        <w:rPr>
          <w:rFonts w:ascii="宋体" w:cs="宋体" w:eastAsia="宋体" w:hAnsi="宋体"/>
          <w:sz w:val="24"/>
          <w:szCs w:val="24"/>
          <w:color w:val="auto"/>
        </w:rPr>
        <w:t>指置信区间</w:t>
      </w:r>
    </w:p>
    <w:p>
      <w:pPr>
        <w:spacing w:after="0" w:line="167" w:lineRule="exact"/>
        <w:rPr>
          <w:sz w:val="20"/>
          <w:szCs w:val="20"/>
          <w:color w:val="auto"/>
        </w:rPr>
      </w:pPr>
    </w:p>
    <w:p>
      <w:pPr>
        <w:jc w:val="center"/>
        <w:ind w:right="4"/>
        <w:spacing w:after="0" w:line="400" w:lineRule="exact"/>
        <w:tabs>
          <w:tab w:leader="none" w:pos="280" w:val="left"/>
        </w:tabs>
        <w:rPr>
          <w:sz w:val="20"/>
          <w:szCs w:val="20"/>
          <w:color w:val="auto"/>
        </w:rPr>
      </w:pPr>
      <w:r>
        <w:rPr>
          <w:rFonts w:ascii="宋体" w:cs="宋体" w:eastAsia="宋体" w:hAnsi="宋体"/>
          <w:sz w:val="32"/>
          <w:szCs w:val="32"/>
          <w:b w:val="1"/>
          <w:bCs w:val="1"/>
          <w:color w:val="auto"/>
        </w:rPr>
        <w:t>图</w:t>
      </w:r>
      <w:r>
        <w:rPr>
          <w:rFonts w:ascii="Times New Roman" w:cs="Times New Roman" w:eastAsia="Times New Roman" w:hAnsi="Times New Roman"/>
          <w:sz w:val="32"/>
          <w:szCs w:val="32"/>
          <w:b w:val="1"/>
          <w:bCs w:val="1"/>
          <w:color w:val="auto"/>
        </w:rPr>
        <w:t xml:space="preserve"> 2</w:t>
      </w:r>
      <w:r>
        <w:rPr>
          <w:sz w:val="20"/>
          <w:szCs w:val="20"/>
          <w:color w:val="auto"/>
        </w:rPr>
        <w:tab/>
      </w:r>
      <w:r>
        <w:rPr>
          <w:rFonts w:ascii="宋体" w:cs="宋体" w:eastAsia="宋体" w:hAnsi="宋体"/>
          <w:sz w:val="32"/>
          <w:szCs w:val="32"/>
          <w:b w:val="1"/>
          <w:bCs w:val="1"/>
          <w:color w:val="auto"/>
        </w:rPr>
        <w:t>相对度量指标的非劣效界值确定过程图示</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5"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7</w:t>
      </w:r>
    </w:p>
    <w:p>
      <w:pPr>
        <w:sectPr>
          <w:pgSz w:w="11900" w:h="16838" w:orient="portrait"/>
          <w:cols w:equalWidth="0" w:num="1">
            <w:col w:w="9024"/>
          </w:cols>
          <w:pgMar w:left="1440" w:top="1440" w:right="1440" w:bottom="433" w:gutter="0" w:footer="0" w:header="0"/>
          <w:type w:val="continuous"/>
        </w:sectPr>
      </w:pPr>
    </w:p>
    <w:bookmarkStart w:id="9" w:name="page10"/>
    <w:bookmarkEnd w:id="9"/>
    <w:p>
      <w:pPr>
        <w:spacing w:after="0" w:line="13" w:lineRule="exact"/>
        <w:rPr>
          <w:sz w:val="20"/>
          <w:szCs w:val="20"/>
          <w:color w:val="auto"/>
        </w:rPr>
      </w:pPr>
    </w:p>
    <w:p>
      <w:pPr>
        <w:ind w:left="1000"/>
        <w:spacing w:after="0" w:line="378" w:lineRule="exact"/>
        <w:rPr>
          <w:sz w:val="20"/>
          <w:szCs w:val="20"/>
          <w:color w:val="auto"/>
        </w:rPr>
      </w:pPr>
      <w:r>
        <w:rPr>
          <w:rFonts w:ascii="宋体" w:cs="宋体" w:eastAsia="宋体" w:hAnsi="宋体"/>
          <w:sz w:val="31"/>
          <w:szCs w:val="31"/>
          <w:color w:val="auto"/>
        </w:rPr>
        <w:t>若检验水准（</w:t>
      </w:r>
      <w:r>
        <w:rPr>
          <w:rFonts w:ascii="Times New Roman" w:cs="Times New Roman" w:eastAsia="Times New Roman" w:hAnsi="Times New Roman"/>
          <w:sz w:val="31"/>
          <w:szCs w:val="31"/>
          <w:color w:val="auto"/>
        </w:rPr>
        <w:t>α</w:t>
      </w:r>
      <w:r>
        <w:rPr>
          <w:rFonts w:ascii="宋体" w:cs="宋体" w:eastAsia="宋体" w:hAnsi="宋体"/>
          <w:sz w:val="31"/>
          <w:szCs w:val="31"/>
          <w:color w:val="auto"/>
        </w:rPr>
        <w:t>）设为单侧</w:t>
      </w:r>
      <w:r>
        <w:rPr>
          <w:rFonts w:ascii="Times New Roman" w:cs="Times New Roman" w:eastAsia="Times New Roman" w:hAnsi="Times New Roman"/>
          <w:sz w:val="31"/>
          <w:szCs w:val="31"/>
          <w:color w:val="auto"/>
        </w:rPr>
        <w:t xml:space="preserve"> 0.025</w:t>
      </w:r>
      <w:r>
        <w:rPr>
          <w:rFonts w:ascii="宋体" w:cs="宋体" w:eastAsia="宋体" w:hAnsi="宋体"/>
          <w:sz w:val="31"/>
          <w:szCs w:val="31"/>
          <w:color w:val="auto"/>
        </w:rPr>
        <w:t>（或双侧</w:t>
      </w:r>
      <w:r>
        <w:rPr>
          <w:rFonts w:ascii="Times New Roman" w:cs="Times New Roman" w:eastAsia="Times New Roman" w:hAnsi="Times New Roman"/>
          <w:sz w:val="31"/>
          <w:szCs w:val="31"/>
          <w:color w:val="auto"/>
        </w:rPr>
        <w:t xml:space="preserve"> 0.05</w:t>
      </w:r>
      <w:r>
        <w:rPr>
          <w:rFonts w:ascii="宋体" w:cs="宋体" w:eastAsia="宋体" w:hAnsi="宋体"/>
          <w:sz w:val="31"/>
          <w:szCs w:val="31"/>
          <w:color w:val="auto"/>
        </w:rPr>
        <w:t>），对于高</w:t>
      </w:r>
    </w:p>
    <w:p>
      <w:pPr>
        <w:spacing w:after="0" w:line="246"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优疗效评价指标，若为绝对度量值，而试验药相对于阳性对</w:t>
      </w:r>
    </w:p>
    <w:p>
      <w:pPr>
        <w:spacing w:after="0" w:line="255" w:lineRule="exact"/>
        <w:rPr>
          <w:sz w:val="20"/>
          <w:szCs w:val="20"/>
          <w:color w:val="auto"/>
        </w:rPr>
      </w:pPr>
    </w:p>
    <w:p>
      <w:pPr>
        <w:jc w:val="center"/>
        <w:ind w:right="-15"/>
        <w:spacing w:after="0" w:line="390" w:lineRule="exact"/>
        <w:rPr>
          <w:sz w:val="20"/>
          <w:szCs w:val="20"/>
          <w:color w:val="auto"/>
        </w:rPr>
      </w:pPr>
      <w:r>
        <w:rPr>
          <w:rFonts w:ascii="宋体" w:cs="宋体" w:eastAsia="宋体" w:hAnsi="宋体"/>
          <w:sz w:val="32"/>
          <w:szCs w:val="32"/>
          <w:color w:val="auto"/>
        </w:rPr>
        <w:t>照药的疗效差异的单侧</w:t>
      </w:r>
      <w:r>
        <w:rPr>
          <w:rFonts w:ascii="Times New Roman" w:cs="Times New Roman" w:eastAsia="Times New Roman" w:hAnsi="Times New Roman"/>
          <w:sz w:val="32"/>
          <w:szCs w:val="32"/>
          <w:color w:val="auto"/>
        </w:rPr>
        <w:t xml:space="preserve"> 97.5%</w:t>
      </w:r>
      <w:r>
        <w:rPr>
          <w:rFonts w:ascii="宋体" w:cs="宋体" w:eastAsia="宋体" w:hAnsi="宋体"/>
          <w:sz w:val="32"/>
          <w:szCs w:val="32"/>
          <w:color w:val="auto"/>
        </w:rPr>
        <w:t>（或双侧</w:t>
      </w:r>
      <w:r>
        <w:rPr>
          <w:rFonts w:ascii="Times New Roman" w:cs="Times New Roman" w:eastAsia="Times New Roman" w:hAnsi="Times New Roman"/>
          <w:sz w:val="32"/>
          <w:szCs w:val="32"/>
          <w:color w:val="auto"/>
        </w:rPr>
        <w:t xml:space="preserve"> 95%</w:t>
      </w:r>
      <w:r>
        <w:rPr>
          <w:rFonts w:ascii="宋体" w:cs="宋体" w:eastAsia="宋体" w:hAnsi="宋体"/>
          <w:sz w:val="32"/>
          <w:szCs w:val="32"/>
          <w:color w:val="auto"/>
        </w:rPr>
        <w:t>）置信区间的下</w:t>
      </w:r>
    </w:p>
    <w:p>
      <w:pPr>
        <w:spacing w:after="0" w:line="246"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限大于负的非劣效界值（若为相对度量值，下限大于非劣效</w:t>
      </w:r>
    </w:p>
    <w:p>
      <w:pPr>
        <w:spacing w:after="0" w:line="282" w:lineRule="exact"/>
        <w:rPr>
          <w:sz w:val="20"/>
          <w:szCs w:val="20"/>
          <w:color w:val="auto"/>
        </w:rPr>
      </w:pPr>
    </w:p>
    <w:p>
      <w:pPr>
        <w:jc w:val="center"/>
        <w:ind w:right="4"/>
        <w:spacing w:after="0" w:line="343" w:lineRule="exact"/>
        <w:rPr>
          <w:sz w:val="20"/>
          <w:szCs w:val="20"/>
          <w:color w:val="auto"/>
        </w:rPr>
      </w:pPr>
      <w:r>
        <w:rPr>
          <w:rFonts w:ascii="宋体" w:cs="宋体" w:eastAsia="宋体" w:hAnsi="宋体"/>
          <w:sz w:val="30"/>
          <w:szCs w:val="30"/>
          <w:color w:val="auto"/>
        </w:rPr>
        <w:t>界值的倒数），则可推断试验的非劣效结论成立；对于低优疗</w:t>
      </w:r>
    </w:p>
    <w:p>
      <w:pPr>
        <w:spacing w:after="0" w:line="254"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效评价指标，无论是绝对度量值还是相对度量值，如果试验</w:t>
      </w:r>
    </w:p>
    <w:p>
      <w:pPr>
        <w:spacing w:after="0" w:line="271" w:lineRule="exact"/>
        <w:rPr>
          <w:sz w:val="20"/>
          <w:szCs w:val="20"/>
          <w:color w:val="auto"/>
        </w:rPr>
      </w:pPr>
    </w:p>
    <w:p>
      <w:pPr>
        <w:ind w:left="360"/>
        <w:spacing w:after="0" w:line="378" w:lineRule="exact"/>
        <w:rPr>
          <w:sz w:val="20"/>
          <w:szCs w:val="20"/>
          <w:color w:val="auto"/>
        </w:rPr>
      </w:pPr>
      <w:r>
        <w:rPr>
          <w:rFonts w:ascii="宋体" w:cs="宋体" w:eastAsia="宋体" w:hAnsi="宋体"/>
          <w:sz w:val="31"/>
          <w:szCs w:val="31"/>
          <w:color w:val="auto"/>
        </w:rPr>
        <w:t>药相对于阳性对照药的疗效差异的单侧</w:t>
      </w:r>
      <w:r>
        <w:rPr>
          <w:rFonts w:ascii="Times New Roman" w:cs="Times New Roman" w:eastAsia="Times New Roman" w:hAnsi="Times New Roman"/>
          <w:sz w:val="31"/>
          <w:szCs w:val="31"/>
          <w:color w:val="auto"/>
        </w:rPr>
        <w:t xml:space="preserve"> 97.5%</w:t>
      </w:r>
      <w:r>
        <w:rPr>
          <w:rFonts w:ascii="宋体" w:cs="宋体" w:eastAsia="宋体" w:hAnsi="宋体"/>
          <w:sz w:val="31"/>
          <w:szCs w:val="31"/>
          <w:color w:val="auto"/>
        </w:rPr>
        <w:t>（或双侧</w:t>
      </w:r>
      <w:r>
        <w:rPr>
          <w:rFonts w:ascii="Times New Roman" w:cs="Times New Roman" w:eastAsia="Times New Roman" w:hAnsi="Times New Roman"/>
          <w:sz w:val="31"/>
          <w:szCs w:val="31"/>
          <w:color w:val="auto"/>
        </w:rPr>
        <w:t xml:space="preserve"> 95%</w:t>
      </w:r>
      <w:r>
        <w:rPr>
          <w:rFonts w:ascii="宋体" w:cs="宋体" w:eastAsia="宋体" w:hAnsi="宋体"/>
          <w:sz w:val="31"/>
          <w:szCs w:val="31"/>
          <w:color w:val="auto"/>
        </w:rPr>
        <w:t>）</w:t>
      </w:r>
    </w:p>
    <w:p>
      <w:pPr>
        <w:spacing w:after="0" w:line="236"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置信区间的上限小于非劣效界值，则可推断试验的非劣效结</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论成立。</w:t>
      </w:r>
    </w:p>
    <w:p>
      <w:pPr>
        <w:spacing w:after="0" w:line="255"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（二）综合法</w:t>
      </w:r>
    </w:p>
    <w:p>
      <w:pPr>
        <w:spacing w:after="0" w:line="264" w:lineRule="exact"/>
        <w:rPr>
          <w:sz w:val="20"/>
          <w:szCs w:val="20"/>
          <w:color w:val="auto"/>
        </w:rPr>
      </w:pPr>
    </w:p>
    <w:p>
      <w:pPr>
        <w:ind w:left="1000"/>
        <w:spacing w:after="0" w:line="390" w:lineRule="exact"/>
        <w:rPr>
          <w:sz w:val="20"/>
          <w:szCs w:val="20"/>
          <w:color w:val="auto"/>
        </w:rPr>
      </w:pPr>
      <w:r>
        <w:rPr>
          <w:rFonts w:ascii="宋体" w:cs="宋体" w:eastAsia="宋体" w:hAnsi="宋体"/>
          <w:sz w:val="32"/>
          <w:szCs w:val="32"/>
          <w:color w:val="auto"/>
        </w:rPr>
        <w:t>综合法不要求预先确定</w:t>
      </w:r>
      <w:r>
        <w:rPr>
          <w:rFonts w:ascii="Times New Roman" w:cs="Times New Roman" w:eastAsia="Times New Roman" w:hAnsi="Times New Roman"/>
          <w:sz w:val="32"/>
          <w:szCs w:val="32"/>
          <w:i w:val="1"/>
          <w:iCs w:val="1"/>
          <w:color w:val="auto"/>
        </w:rPr>
        <w:t xml:space="preserve"> M</w:t>
      </w:r>
      <w:r>
        <w:rPr>
          <w:rFonts w:ascii="Times New Roman" w:cs="Times New Roman" w:eastAsia="Times New Roman" w:hAnsi="Times New Roman"/>
          <w:sz w:val="21"/>
          <w:szCs w:val="21"/>
          <w:color w:val="auto"/>
        </w:rPr>
        <w:t>1</w:t>
      </w:r>
      <w:r>
        <w:rPr>
          <w:rFonts w:ascii="宋体" w:cs="宋体" w:eastAsia="宋体" w:hAnsi="宋体"/>
          <w:sz w:val="32"/>
          <w:szCs w:val="32"/>
          <w:color w:val="auto"/>
        </w:rPr>
        <w:t>，而是将既往阳性对照药与安</w:t>
      </w:r>
    </w:p>
    <w:p>
      <w:pPr>
        <w:spacing w:after="0" w:line="230" w:lineRule="exact"/>
        <w:rPr>
          <w:sz w:val="20"/>
          <w:szCs w:val="20"/>
          <w:color w:val="auto"/>
        </w:rPr>
      </w:pPr>
    </w:p>
    <w:p>
      <w:pPr>
        <w:jc w:val="center"/>
        <w:ind w:right="4"/>
        <w:spacing w:after="0" w:line="366" w:lineRule="exact"/>
        <w:rPr>
          <w:sz w:val="20"/>
          <w:szCs w:val="20"/>
          <w:color w:val="auto"/>
        </w:rPr>
      </w:pPr>
      <w:r>
        <w:rPr>
          <w:rFonts w:ascii="宋体" w:cs="宋体" w:eastAsia="宋体" w:hAnsi="宋体"/>
          <w:sz w:val="32"/>
          <w:szCs w:val="32"/>
          <w:color w:val="auto"/>
        </w:rPr>
        <w:t>慰剂的优效试验和当前试验药与阳性对照药的非劣效试验</w:t>
      </w:r>
    </w:p>
    <w:p>
      <w:pPr>
        <w:spacing w:after="0" w:line="254"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的数据进行合并或综合，构建一个检验统计量</w:t>
      </w:r>
      <w:r>
        <w:rPr>
          <w:rFonts w:ascii="Times New Roman" w:cs="Times New Roman" w:eastAsia="Times New Roman" w:hAnsi="Times New Roman"/>
          <w:sz w:val="32"/>
          <w:szCs w:val="32"/>
          <w:i w:val="1"/>
          <w:iCs w:val="1"/>
          <w:color w:val="auto"/>
        </w:rPr>
        <w:t xml:space="preserve"> Z </w:t>
      </w:r>
      <w:r>
        <w:rPr>
          <w:rFonts w:ascii="宋体" w:cs="宋体" w:eastAsia="宋体" w:hAnsi="宋体"/>
          <w:sz w:val="32"/>
          <w:szCs w:val="32"/>
          <w:color w:val="auto"/>
        </w:rPr>
        <w:t>来表达试验</w:t>
      </w:r>
    </w:p>
    <w:p>
      <w:pPr>
        <w:spacing w:after="0" w:line="235"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药是否保留了阳性对照药疗效的一部分。检验统计量</w:t>
      </w:r>
      <w:r>
        <w:rPr>
          <w:rFonts w:ascii="Times New Roman" w:cs="Times New Roman" w:eastAsia="Times New Roman" w:hAnsi="Times New Roman"/>
          <w:sz w:val="32"/>
          <w:szCs w:val="32"/>
          <w:i w:val="1"/>
          <w:iCs w:val="1"/>
          <w:color w:val="auto"/>
        </w:rPr>
        <w:t xml:space="preserve"> Z </w:t>
      </w:r>
      <w:r>
        <w:rPr>
          <w:rFonts w:ascii="宋体" w:cs="宋体" w:eastAsia="宋体" w:hAnsi="宋体"/>
          <w:sz w:val="32"/>
          <w:szCs w:val="32"/>
          <w:color w:val="auto"/>
        </w:rPr>
        <w:t>的计</w:t>
      </w:r>
    </w:p>
    <w:p>
      <w:pPr>
        <w:spacing w:after="0" w:line="162" w:lineRule="exact"/>
        <w:rPr>
          <w:sz w:val="20"/>
          <w:szCs w:val="20"/>
          <w:color w:val="auto"/>
        </w:rPr>
      </w:pPr>
    </w:p>
    <w:p>
      <w:pPr>
        <w:ind w:left="360" w:right="344"/>
        <w:spacing w:after="0" w:line="1117" w:lineRule="exact"/>
        <w:rPr>
          <w:sz w:val="20"/>
          <w:szCs w:val="20"/>
          <w:color w:val="auto"/>
        </w:rPr>
      </w:pPr>
      <w:r>
        <w:rPr>
          <w:rFonts w:ascii="宋体" w:cs="宋体" w:eastAsia="宋体" w:hAnsi="宋体"/>
          <w:sz w:val="17"/>
          <w:szCs w:val="17"/>
          <w:color w:val="auto"/>
        </w:rPr>
        <w:t>算公式详见附录</w:t>
      </w:r>
      <w:r>
        <w:rPr>
          <w:rFonts w:ascii="Times New Roman" w:cs="Times New Roman" w:eastAsia="Times New Roman" w:hAnsi="Times New Roman"/>
          <w:sz w:val="17"/>
          <w:szCs w:val="17"/>
          <w:color w:val="auto"/>
        </w:rPr>
        <w:t xml:space="preserve"> 2 </w:t>
      </w:r>
      <w:r>
        <w:rPr>
          <w:rFonts w:ascii="宋体" w:cs="宋体" w:eastAsia="宋体" w:hAnsi="宋体"/>
          <w:sz w:val="17"/>
          <w:szCs w:val="17"/>
          <w:color w:val="auto"/>
        </w:rPr>
        <w:t>。如果用</w:t>
      </w:r>
      <w:r>
        <w:rPr>
          <w:rFonts w:ascii="Times New Roman" w:cs="Times New Roman" w:eastAsia="Times New Roman" w:hAnsi="Times New Roman"/>
          <w:sz w:val="17"/>
          <w:szCs w:val="17"/>
          <w:color w:val="auto"/>
        </w:rPr>
        <w:t xml:space="preserve"> </w:t>
      </w:r>
      <w:r>
        <w:rPr>
          <w:rFonts w:ascii="Cambria Math" w:cs="Cambria Math" w:eastAsia="Cambria Math" w:hAnsi="Cambria Math"/>
          <w:sz w:val="18"/>
          <w:szCs w:val="18"/>
          <w:color w:val="auto"/>
          <w:vertAlign w:val="subscript"/>
        </w:rPr>
        <w:t>1− ⁄2</w:t>
      </w:r>
      <w:r>
        <w:rPr>
          <w:rFonts w:ascii="Times New Roman" w:cs="Times New Roman" w:eastAsia="Times New Roman" w:hAnsi="Times New Roman"/>
          <w:sz w:val="17"/>
          <w:szCs w:val="17"/>
          <w:color w:val="auto"/>
        </w:rPr>
        <w:t xml:space="preserve"> </w:t>
      </w:r>
      <w:r>
        <w:rPr>
          <w:rFonts w:ascii="宋体" w:cs="宋体" w:eastAsia="宋体" w:hAnsi="宋体"/>
          <w:sz w:val="17"/>
          <w:szCs w:val="17"/>
          <w:color w:val="auto"/>
        </w:rPr>
        <w:t>表示标准正态分布的</w:t>
      </w:r>
      <w:r>
        <w:rPr>
          <w:rFonts w:ascii="Times New Roman" w:cs="Times New Roman" w:eastAsia="Times New Roman" w:hAnsi="Times New Roman"/>
          <w:sz w:val="17"/>
          <w:szCs w:val="17"/>
          <w:color w:val="auto"/>
        </w:rPr>
        <w:t xml:space="preserve"> </w:t>
      </w:r>
      <w:r>
        <w:rPr>
          <w:rFonts w:ascii="Cambria Math" w:cs="Cambria Math" w:eastAsia="Cambria Math" w:hAnsi="Cambria Math"/>
          <w:sz w:val="17"/>
          <w:szCs w:val="17"/>
          <w:color w:val="auto"/>
        </w:rPr>
        <w:t>100(1 − ⁄</w:t>
      </w:r>
      <w:r>
        <w:rPr>
          <w:rFonts w:ascii="Cambria Math" w:cs="Cambria Math" w:eastAsia="Cambria Math" w:hAnsi="Cambria Math"/>
          <w:sz w:val="20"/>
          <w:szCs w:val="20"/>
          <w:color w:val="auto"/>
          <w:vertAlign w:val="subscript"/>
        </w:rPr>
        <w:t>2</w:t>
      </w:r>
      <w:r>
        <w:rPr>
          <w:rFonts w:ascii="Cambria Math" w:cs="Cambria Math" w:eastAsia="Cambria Math" w:hAnsi="Cambria Math"/>
          <w:sz w:val="17"/>
          <w:szCs w:val="17"/>
          <w:color w:val="auto"/>
        </w:rPr>
        <w:t>)</w:t>
      </w:r>
      <w:r>
        <w:rPr>
          <w:rFonts w:ascii="Times New Roman" w:cs="Times New Roman" w:eastAsia="Times New Roman" w:hAnsi="Times New Roman"/>
          <w:sz w:val="17"/>
          <w:szCs w:val="17"/>
          <w:color w:val="auto"/>
        </w:rPr>
        <w:t>%</w:t>
      </w:r>
      <w:r>
        <w:rPr>
          <w:rFonts w:ascii="宋体" w:cs="宋体" w:eastAsia="宋体" w:hAnsi="宋体"/>
          <w:sz w:val="17"/>
          <w:szCs w:val="17"/>
          <w:color w:val="auto"/>
        </w:rPr>
        <w:t>百分位数，对于高优疗效评价指标，若</w:t>
      </w:r>
      <w:r>
        <w:rPr>
          <w:rFonts w:ascii="Cambria Math" w:cs="Cambria Math" w:eastAsia="Cambria Math" w:hAnsi="Cambria Math"/>
          <w:sz w:val="17"/>
          <w:szCs w:val="17"/>
          <w:color w:val="auto"/>
        </w:rPr>
        <w:t xml:space="preserve"> </w:t>
      </w:r>
      <w:r>
        <w:rPr>
          <w:rFonts w:ascii="Times New Roman" w:cs="Times New Roman" w:eastAsia="Times New Roman" w:hAnsi="Times New Roman"/>
          <w:sz w:val="17"/>
          <w:szCs w:val="17"/>
          <w:i w:val="1"/>
          <w:iCs w:val="1"/>
          <w:color w:val="auto"/>
        </w:rPr>
        <w:t>Z</w:t>
      </w:r>
      <w:r>
        <w:rPr>
          <w:rFonts w:ascii="Cambria Math" w:cs="Cambria Math" w:eastAsia="Cambria Math" w:hAnsi="Cambria Math"/>
          <w:sz w:val="17"/>
          <w:szCs w:val="17"/>
          <w:color w:val="auto"/>
        </w:rPr>
        <w:t xml:space="preserve"> </w:t>
      </w:r>
      <w:r>
        <w:rPr>
          <w:rFonts w:ascii="宋体" w:cs="宋体" w:eastAsia="宋体" w:hAnsi="宋体"/>
          <w:sz w:val="17"/>
          <w:szCs w:val="17"/>
          <w:color w:val="auto"/>
        </w:rPr>
        <w:t>大</w:t>
      </w:r>
    </w:p>
    <w:p>
      <w:pPr>
        <w:spacing w:after="0" w:line="302" w:lineRule="exact"/>
        <w:rPr>
          <w:sz w:val="20"/>
          <w:szCs w:val="20"/>
          <w:color w:val="auto"/>
        </w:rPr>
      </w:pPr>
    </w:p>
    <w:p>
      <w:pPr>
        <w:ind w:left="360" w:right="344"/>
        <w:spacing w:after="0" w:line="1017" w:lineRule="exact"/>
        <w:rPr>
          <w:sz w:val="20"/>
          <w:szCs w:val="20"/>
          <w:color w:val="auto"/>
        </w:rPr>
      </w:pPr>
      <w:r>
        <w:rPr>
          <w:rFonts w:ascii="宋体" w:cs="宋体" w:eastAsia="宋体" w:hAnsi="宋体"/>
          <w:sz w:val="20"/>
          <w:szCs w:val="20"/>
          <w:color w:val="auto"/>
        </w:rPr>
        <w:t>于</w:t>
      </w:r>
      <w:r>
        <w:rPr>
          <w:rFonts w:ascii="Times New Roman" w:cs="Times New Roman" w:eastAsia="Times New Roman" w:hAnsi="Times New Roman"/>
          <w:sz w:val="20"/>
          <w:szCs w:val="20"/>
          <w:i w:val="1"/>
          <w:iCs w:val="1"/>
          <w:color w:val="auto"/>
        </w:rPr>
        <w:t xml:space="preserve"> </w:t>
      </w:r>
      <w:r>
        <w:rPr>
          <w:rFonts w:ascii="Cambria Math" w:cs="Cambria Math" w:eastAsia="Cambria Math" w:hAnsi="Cambria Math"/>
          <w:sz w:val="23"/>
          <w:szCs w:val="23"/>
          <w:color w:val="auto"/>
          <w:vertAlign w:val="subscript"/>
        </w:rPr>
        <w:t>1− ⁄2</w:t>
      </w:r>
      <w:r>
        <w:rPr>
          <w:rFonts w:ascii="宋体" w:cs="宋体" w:eastAsia="宋体" w:hAnsi="宋体"/>
          <w:sz w:val="20"/>
          <w:szCs w:val="20"/>
          <w:color w:val="auto"/>
        </w:rPr>
        <w:t>，或对于低优疗效评价指标，若</w:t>
      </w:r>
      <w:r>
        <w:rPr>
          <w:rFonts w:ascii="Times New Roman" w:cs="Times New Roman" w:eastAsia="Times New Roman" w:hAnsi="Times New Roman"/>
          <w:sz w:val="20"/>
          <w:szCs w:val="20"/>
          <w:i w:val="1"/>
          <w:iCs w:val="1"/>
          <w:color w:val="auto"/>
        </w:rPr>
        <w:t xml:space="preserve"> Z </w:t>
      </w:r>
      <w:r>
        <w:rPr>
          <w:rFonts w:ascii="宋体" w:cs="宋体" w:eastAsia="宋体" w:hAnsi="宋体"/>
          <w:sz w:val="20"/>
          <w:szCs w:val="20"/>
          <w:color w:val="auto"/>
        </w:rPr>
        <w:t>小于</w:t>
      </w:r>
      <w:r>
        <w:rPr>
          <w:rFonts w:ascii="Times New Roman" w:cs="Times New Roman" w:eastAsia="Times New Roman" w:hAnsi="Times New Roman"/>
          <w:sz w:val="20"/>
          <w:szCs w:val="20"/>
          <w:i w:val="1"/>
          <w:iCs w:val="1"/>
          <w:color w:val="auto"/>
        </w:rPr>
        <w:t xml:space="preserve"> </w:t>
      </w:r>
      <w:r>
        <w:rPr>
          <w:rFonts w:ascii="Cambria Math" w:cs="Cambria Math" w:eastAsia="Cambria Math" w:hAnsi="Cambria Math"/>
          <w:sz w:val="23"/>
          <w:szCs w:val="23"/>
          <w:color w:val="auto"/>
          <w:vertAlign w:val="subscript"/>
        </w:rPr>
        <w:t>1− ⁄2</w:t>
      </w:r>
      <w:r>
        <w:rPr>
          <w:rFonts w:ascii="宋体" w:cs="宋体" w:eastAsia="宋体" w:hAnsi="宋体"/>
          <w:sz w:val="20"/>
          <w:szCs w:val="20"/>
          <w:color w:val="auto"/>
        </w:rPr>
        <w:t>，则可推断试验药非劣效于阳性对照药。</w:t>
      </w:r>
    </w:p>
    <w:p>
      <w:pPr>
        <w:spacing w:after="0" w:line="260"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只要恒定假设成立，使用综合法相对于使用固定界值法</w:t>
      </w:r>
    </w:p>
    <w:p>
      <w:pPr>
        <w:spacing w:after="0" w:line="266"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可以提高研究效率（减少样本量或样本量不变而获得更大的</w:t>
      </w:r>
    </w:p>
    <w:p>
      <w:pPr>
        <w:spacing w:after="0" w:line="260"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检验效能）；综合法虽然在开展非劣效试验之前不需要预先</w:t>
      </w:r>
    </w:p>
    <w:p>
      <w:pPr>
        <w:spacing w:after="0" w:line="264"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确定</w:t>
      </w:r>
      <w:r>
        <w:rPr>
          <w:rFonts w:ascii="Times New Roman" w:cs="Times New Roman" w:eastAsia="Times New Roman" w:hAnsi="Times New Roman"/>
          <w:sz w:val="32"/>
          <w:szCs w:val="32"/>
          <w:i w:val="1"/>
          <w:iCs w:val="1"/>
          <w:color w:val="auto"/>
        </w:rPr>
        <w:t xml:space="preserve"> M</w:t>
      </w:r>
      <w:r>
        <w:rPr>
          <w:rFonts w:ascii="Times New Roman" w:cs="Times New Roman" w:eastAsia="Times New Roman" w:hAnsi="Times New Roman"/>
          <w:sz w:val="21"/>
          <w:szCs w:val="21"/>
          <w:color w:val="auto"/>
        </w:rPr>
        <w:t>1</w:t>
      </w:r>
      <w:r>
        <w:rPr>
          <w:rFonts w:ascii="宋体" w:cs="宋体" w:eastAsia="宋体" w:hAnsi="宋体"/>
          <w:sz w:val="32"/>
          <w:szCs w:val="32"/>
          <w:color w:val="auto"/>
        </w:rPr>
        <w:t>，但需要在方案中基于临床判断预先确定</w:t>
      </w:r>
      <w:r>
        <w:rPr>
          <w:rFonts w:ascii="Times New Roman" w:cs="Times New Roman" w:eastAsia="Times New Roman" w:hAnsi="Times New Roman"/>
          <w:sz w:val="32"/>
          <w:szCs w:val="32"/>
          <w:i w:val="1"/>
          <w:iCs w:val="1"/>
          <w:color w:val="auto"/>
        </w:rPr>
        <w:t xml:space="preserve"> f </w:t>
      </w:r>
      <w:r>
        <w:rPr>
          <w:rFonts w:ascii="宋体" w:cs="宋体" w:eastAsia="宋体" w:hAnsi="宋体"/>
          <w:sz w:val="32"/>
          <w:szCs w:val="32"/>
          <w:color w:val="auto"/>
        </w:rPr>
        <w:t>值。</w:t>
      </w: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378"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8</w:t>
      </w:r>
    </w:p>
    <w:p>
      <w:pPr>
        <w:sectPr>
          <w:pgSz w:w="11900" w:h="16838" w:orient="portrait"/>
          <w:cols w:equalWidth="0" w:num="1">
            <w:col w:w="9024"/>
          </w:cols>
          <w:pgMar w:left="1440" w:top="1440" w:right="1440" w:bottom="433" w:gutter="0" w:footer="0" w:header="0"/>
          <w:type w:val="continuous"/>
        </w:sectPr>
      </w:pPr>
    </w:p>
    <w:bookmarkStart w:id="10" w:name="page11"/>
    <w:bookmarkEnd w:id="10"/>
    <w:p>
      <w:pPr>
        <w:spacing w:after="0" w:line="1" w:lineRule="exact"/>
        <w:rPr>
          <w:sz w:val="20"/>
          <w:szCs w:val="20"/>
          <w:color w:val="auto"/>
        </w:rPr>
      </w:pPr>
    </w:p>
    <w:p>
      <w:pPr>
        <w:ind w:left="1000"/>
        <w:spacing w:after="0" w:line="366" w:lineRule="exact"/>
        <w:rPr>
          <w:sz w:val="20"/>
          <w:szCs w:val="20"/>
          <w:color w:val="auto"/>
        </w:rPr>
      </w:pPr>
      <w:r>
        <w:rPr>
          <w:rFonts w:ascii="黑体" w:cs="黑体" w:eastAsia="黑体" w:hAnsi="黑体"/>
          <w:sz w:val="32"/>
          <w:szCs w:val="32"/>
          <w:color w:val="auto"/>
        </w:rPr>
        <w:t>五、其他考虑</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（一）相对于疗效损失的潜在获益</w:t>
      </w:r>
    </w:p>
    <w:p>
      <w:pPr>
        <w:spacing w:after="0" w:line="301" w:lineRule="exact"/>
        <w:rPr>
          <w:sz w:val="20"/>
          <w:szCs w:val="20"/>
          <w:color w:val="auto"/>
        </w:rPr>
      </w:pPr>
    </w:p>
    <w:p>
      <w:pPr>
        <w:ind w:left="360" w:right="24" w:firstLine="638"/>
        <w:spacing w:after="0" w:line="572" w:lineRule="exact"/>
        <w:rPr>
          <w:sz w:val="20"/>
          <w:szCs w:val="20"/>
          <w:color w:val="auto"/>
        </w:rPr>
      </w:pPr>
      <w:r>
        <w:rPr>
          <w:rFonts w:ascii="宋体" w:cs="宋体" w:eastAsia="宋体" w:hAnsi="宋体"/>
          <w:sz w:val="32"/>
          <w:szCs w:val="32"/>
          <w:color w:val="auto"/>
        </w:rPr>
        <w:t>非劣效设计允许试验药疗效相对于阳性对照药有一定的损失，相应地也要考虑试验药在其他方面是否有潜在获益，以对其疗效损失进行必要补偿。例如，与阳性对照药相比，其他方面的潜在获益可能包括疗程更短、使用更方便、不良反应更少、依从性更好等。对潜在获益的评估应综合考虑非劣效试验目的和关注的临床问题。</w:t>
      </w:r>
    </w:p>
    <w:p>
      <w:pPr>
        <w:spacing w:after="0" w:line="263"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（二）非劣效与优效检验的转换</w:t>
      </w:r>
    </w:p>
    <w:p>
      <w:pPr>
        <w:spacing w:after="0" w:line="301" w:lineRule="exact"/>
        <w:rPr>
          <w:sz w:val="20"/>
          <w:szCs w:val="20"/>
          <w:color w:val="auto"/>
        </w:rPr>
      </w:pPr>
    </w:p>
    <w:p>
      <w:pPr>
        <w:jc w:val="both"/>
        <w:ind w:left="360" w:right="204" w:firstLine="638"/>
        <w:spacing w:after="0" w:line="562" w:lineRule="exact"/>
        <w:rPr>
          <w:sz w:val="20"/>
          <w:szCs w:val="20"/>
          <w:color w:val="auto"/>
        </w:rPr>
      </w:pPr>
      <w:r>
        <w:rPr>
          <w:rFonts w:ascii="宋体" w:cs="宋体" w:eastAsia="宋体" w:hAnsi="宋体"/>
          <w:sz w:val="31"/>
          <w:szCs w:val="31"/>
          <w:color w:val="auto"/>
        </w:rPr>
        <w:t>在非劣效试验方案中可以预先定义非劣效与优效检验的转换，即先进行非劣效检验，如果非劣效结论成立，可进一步进行优效检验，如果优效结论成立，则研究结论为优效；如果优效结论不成立，则研究结论为非劣效。当非劣效结论不成立时，研究结论不支持非劣效，也不应再进行优效检验。</w:t>
      </w:r>
    </w:p>
    <w:p>
      <w:pPr>
        <w:spacing w:after="0" w:line="309" w:lineRule="exact"/>
        <w:rPr>
          <w:sz w:val="20"/>
          <w:szCs w:val="20"/>
          <w:color w:val="auto"/>
        </w:rPr>
      </w:pPr>
    </w:p>
    <w:p>
      <w:pPr>
        <w:jc w:val="both"/>
        <w:ind w:left="360" w:right="364" w:firstLine="638"/>
        <w:spacing w:after="0" w:line="546" w:lineRule="exact"/>
        <w:rPr>
          <w:sz w:val="20"/>
          <w:szCs w:val="20"/>
          <w:color w:val="auto"/>
        </w:rPr>
      </w:pPr>
      <w:r>
        <w:rPr>
          <w:rFonts w:ascii="宋体" w:cs="宋体" w:eastAsia="宋体" w:hAnsi="宋体"/>
          <w:sz w:val="32"/>
          <w:szCs w:val="32"/>
          <w:color w:val="auto"/>
        </w:rPr>
        <w:t>若计划在采用阳性对照药的优效检验不成立时进行非劣效检验，则须在试验方案中预先考虑优效与非劣效检验的转换，包括事先定义非劣效检验假设、非劣效界值，以及多重性校正的策略等。</w:t>
      </w:r>
    </w:p>
    <w:p>
      <w:pPr>
        <w:spacing w:after="0" w:line="257"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（三）三臂非劣效设计</w:t>
      </w:r>
    </w:p>
    <w:p>
      <w:pPr>
        <w:spacing w:after="0" w:line="305" w:lineRule="exact"/>
        <w:rPr>
          <w:sz w:val="20"/>
          <w:szCs w:val="20"/>
          <w:color w:val="auto"/>
        </w:rPr>
      </w:pPr>
    </w:p>
    <w:p>
      <w:pPr>
        <w:jc w:val="both"/>
        <w:ind w:left="360" w:right="364" w:firstLine="638"/>
        <w:spacing w:after="0" w:line="521" w:lineRule="exact"/>
        <w:rPr>
          <w:sz w:val="20"/>
          <w:szCs w:val="20"/>
          <w:color w:val="auto"/>
        </w:rPr>
      </w:pPr>
      <w:r>
        <w:rPr>
          <w:rFonts w:ascii="宋体" w:cs="宋体" w:eastAsia="宋体" w:hAnsi="宋体"/>
          <w:sz w:val="31"/>
          <w:szCs w:val="31"/>
          <w:color w:val="auto"/>
        </w:rPr>
        <w:t>为了考察试验药是否非劣效于阳性对照药，还可以考虑包含试验组、阳性对照组和安慰剂组的三臂非劣效设计，前提条件是符合伦理。三臂非劣效设计在检验试验药非劣效于</w:t>
      </w:r>
    </w:p>
    <w:p>
      <w:pPr>
        <w:spacing w:after="0" w:line="200" w:lineRule="exact"/>
        <w:rPr>
          <w:sz w:val="20"/>
          <w:szCs w:val="20"/>
          <w:color w:val="auto"/>
        </w:rPr>
      </w:pPr>
    </w:p>
    <w:p>
      <w:pPr>
        <w:spacing w:after="0" w:line="200" w:lineRule="exact"/>
        <w:rPr>
          <w:sz w:val="20"/>
          <w:szCs w:val="20"/>
          <w:color w:val="auto"/>
        </w:rPr>
      </w:pPr>
    </w:p>
    <w:p>
      <w:pPr>
        <w:spacing w:after="0" w:line="343" w:lineRule="exact"/>
        <w:rPr>
          <w:sz w:val="20"/>
          <w:szCs w:val="20"/>
          <w:color w:val="auto"/>
        </w:rPr>
      </w:pPr>
    </w:p>
    <w:p>
      <w:pPr>
        <w:jc w:val="center"/>
        <w:ind w:right="4"/>
        <w:spacing w:after="0"/>
        <w:rPr>
          <w:sz w:val="20"/>
          <w:szCs w:val="20"/>
          <w:color w:val="auto"/>
        </w:rPr>
      </w:pPr>
      <w:r>
        <w:rPr>
          <w:rFonts w:ascii="Calibri" w:cs="Calibri" w:eastAsia="Calibri" w:hAnsi="Calibri"/>
          <w:sz w:val="18"/>
          <w:szCs w:val="18"/>
          <w:color w:val="auto"/>
        </w:rPr>
        <w:t>9</w:t>
      </w:r>
    </w:p>
    <w:p>
      <w:pPr>
        <w:sectPr>
          <w:pgSz w:w="11900" w:h="16838" w:orient="portrait"/>
          <w:cols w:equalWidth="0" w:num="1">
            <w:col w:w="9024"/>
          </w:cols>
          <w:pgMar w:left="1440" w:top="1440" w:right="1440" w:bottom="433" w:gutter="0" w:footer="0" w:header="0"/>
        </w:sectPr>
      </w:pPr>
    </w:p>
    <w:bookmarkStart w:id="11" w:name="page12"/>
    <w:bookmarkEnd w:id="11"/>
    <w:p>
      <w:pPr>
        <w:spacing w:after="0" w:line="12"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阳性对照药的同时，还可以考察阳性对照药是否优效于安慰</w:t>
      </w:r>
    </w:p>
    <w:p>
      <w:pPr>
        <w:spacing w:after="0" w:line="270"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剂，从而在临床试验内部建立确切的检定敏感性。因此，在</w:t>
      </w:r>
    </w:p>
    <w:p>
      <w:pPr>
        <w:spacing w:after="0" w:line="255"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伦理许可的情况下，三臂非劣效设计是确证试验药非劣效于</w:t>
      </w:r>
    </w:p>
    <w:p>
      <w:pPr>
        <w:spacing w:after="0" w:line="270" w:lineRule="exact"/>
        <w:rPr>
          <w:sz w:val="20"/>
          <w:szCs w:val="20"/>
          <w:color w:val="auto"/>
        </w:rPr>
      </w:pPr>
    </w:p>
    <w:p>
      <w:pPr>
        <w:jc w:val="center"/>
        <w:ind w:right="3504"/>
        <w:spacing w:after="0" w:line="354" w:lineRule="exact"/>
        <w:rPr>
          <w:sz w:val="20"/>
          <w:szCs w:val="20"/>
          <w:color w:val="auto"/>
        </w:rPr>
      </w:pPr>
      <w:r>
        <w:rPr>
          <w:rFonts w:ascii="宋体" w:cs="宋体" w:eastAsia="宋体" w:hAnsi="宋体"/>
          <w:sz w:val="31"/>
          <w:szCs w:val="31"/>
          <w:color w:val="auto"/>
        </w:rPr>
        <w:t>阳性对照药的较理想的试验设计。</w:t>
      </w:r>
    </w:p>
    <w:p>
      <w:pPr>
        <w:spacing w:after="0" w:line="259"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（四）与监管机构的沟通</w:t>
      </w:r>
    </w:p>
    <w:p>
      <w:pPr>
        <w:spacing w:after="0" w:line="254"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当申请人计划采用非劣效试验时，鼓励与监管机构及时</w:t>
      </w:r>
    </w:p>
    <w:p>
      <w:pPr>
        <w:spacing w:after="0" w:line="270"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沟通。沟通的问题包括但不限于阳性对照药的选择、非劣效</w:t>
      </w:r>
    </w:p>
    <w:p>
      <w:pPr>
        <w:spacing w:after="0" w:line="271" w:lineRule="exact"/>
        <w:rPr>
          <w:sz w:val="20"/>
          <w:szCs w:val="20"/>
          <w:color w:val="auto"/>
        </w:rPr>
      </w:pPr>
    </w:p>
    <w:p>
      <w:pPr>
        <w:jc w:val="center"/>
        <w:ind w:right="-15"/>
        <w:spacing w:after="0" w:line="354" w:lineRule="exact"/>
        <w:rPr>
          <w:sz w:val="20"/>
          <w:szCs w:val="20"/>
          <w:color w:val="auto"/>
        </w:rPr>
      </w:pPr>
      <w:r>
        <w:rPr>
          <w:rFonts w:ascii="宋体" w:cs="宋体" w:eastAsia="宋体" w:hAnsi="宋体"/>
          <w:sz w:val="31"/>
          <w:szCs w:val="31"/>
          <w:color w:val="auto"/>
        </w:rPr>
        <w:t>界值的确定、主要分析人群、非劣效与优效检验的转换、替</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代设计的考虑等问题。进行沟通前，申请人应该向监管机构</w:t>
      </w:r>
    </w:p>
    <w:p>
      <w:pPr>
        <w:spacing w:after="0" w:line="255"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预先提供包含统计分析考虑的试验方案等相关资料。例如，</w:t>
      </w:r>
    </w:p>
    <w:p>
      <w:pPr>
        <w:spacing w:after="0" w:line="259"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在沟通非劣效界值时，申请人应预先提供确定非劣效界值的</w:t>
      </w:r>
    </w:p>
    <w:p>
      <w:pPr>
        <w:spacing w:after="0" w:line="259"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详细过程，包括所用到的文献及</w:t>
      </w:r>
      <w:r>
        <w:rPr>
          <w:rFonts w:ascii="Times New Roman" w:cs="Times New Roman" w:eastAsia="Times New Roman" w:hAnsi="Times New Roman"/>
          <w:sz w:val="32"/>
          <w:szCs w:val="32"/>
          <w:color w:val="auto"/>
        </w:rPr>
        <w:t xml:space="preserve"> meta </w:t>
      </w:r>
      <w:r>
        <w:rPr>
          <w:rFonts w:ascii="宋体" w:cs="宋体" w:eastAsia="宋体" w:hAnsi="宋体"/>
          <w:sz w:val="32"/>
          <w:szCs w:val="32"/>
          <w:color w:val="auto"/>
        </w:rPr>
        <w:t>分析结果等。</w:t>
      </w: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2" w:lineRule="exact"/>
        <w:rPr>
          <w:sz w:val="20"/>
          <w:szCs w:val="20"/>
          <w:color w:val="auto"/>
        </w:rPr>
      </w:pPr>
    </w:p>
    <w:p>
      <w:pPr>
        <w:jc w:val="center"/>
        <w:ind w:right="4"/>
        <w:spacing w:after="0"/>
        <w:rPr>
          <w:sz w:val="20"/>
          <w:szCs w:val="20"/>
          <w:color w:val="auto"/>
        </w:rPr>
      </w:pPr>
      <w:r>
        <w:rPr>
          <w:rFonts w:ascii="Calibri" w:cs="Calibri" w:eastAsia="Calibri" w:hAnsi="Calibri"/>
          <w:sz w:val="17"/>
          <w:szCs w:val="17"/>
          <w:color w:val="auto"/>
        </w:rPr>
        <w:t>10</w:t>
      </w:r>
    </w:p>
    <w:p>
      <w:pPr>
        <w:sectPr>
          <w:pgSz w:w="11900" w:h="16838" w:orient="portrait"/>
          <w:cols w:equalWidth="0" w:num="1">
            <w:col w:w="9024"/>
          </w:cols>
          <w:pgMar w:left="1440" w:top="1440" w:right="1440" w:bottom="433" w:gutter="0" w:footer="0" w:header="0"/>
          <w:type w:val="continuous"/>
        </w:sectPr>
      </w:pPr>
    </w:p>
    <w:bookmarkStart w:id="12" w:name="page13"/>
    <w:bookmarkEnd w:id="12"/>
    <w:p>
      <w:pPr>
        <w:spacing w:after="0" w:line="1" w:lineRule="exact"/>
        <w:rPr>
          <w:sz w:val="20"/>
          <w:szCs w:val="20"/>
          <w:color w:val="auto"/>
        </w:rPr>
      </w:pPr>
    </w:p>
    <w:p>
      <w:pPr>
        <w:ind w:left="1000"/>
        <w:spacing w:after="0" w:line="390" w:lineRule="exact"/>
        <w:rPr>
          <w:sz w:val="20"/>
          <w:szCs w:val="20"/>
          <w:color w:val="auto"/>
        </w:rPr>
      </w:pPr>
      <w:r>
        <w:rPr>
          <w:rFonts w:ascii="黑体" w:cs="黑体" w:eastAsia="黑体" w:hAnsi="黑体"/>
          <w:sz w:val="32"/>
          <w:szCs w:val="32"/>
          <w:color w:val="auto"/>
        </w:rPr>
        <w:t>附录</w:t>
      </w:r>
      <w:r>
        <w:rPr>
          <w:rFonts w:ascii="Times New Roman" w:cs="Times New Roman" w:eastAsia="Times New Roman" w:hAnsi="Times New Roman"/>
          <w:sz w:val="32"/>
          <w:szCs w:val="32"/>
          <w:color w:val="auto"/>
        </w:rPr>
        <w:t xml:space="preserve"> 1</w:t>
      </w:r>
      <w:r>
        <w:rPr>
          <w:rFonts w:ascii="黑体" w:cs="黑体" w:eastAsia="黑体" w:hAnsi="黑体"/>
          <w:sz w:val="32"/>
          <w:szCs w:val="32"/>
          <w:color w:val="auto"/>
        </w:rPr>
        <w:t>：中英文词汇对照</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5494655</wp:posOffset>
                </wp:positionH>
                <wp:positionV relativeFrom="paragraph">
                  <wp:posOffset>145415</wp:posOffset>
                </wp:positionV>
                <wp:extent cx="12700" cy="1270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35" o:spid="_x0000_s1060" style="position:absolute;margin-left:432.65pt;margin-top:11.45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pacing w:after="0" w:line="194" w:lineRule="exact"/>
        <w:rPr>
          <w:sz w:val="20"/>
          <w:szCs w:val="20"/>
          <w:color w:val="auto"/>
        </w:rPr>
      </w:pPr>
    </w:p>
    <w:tbl>
      <w:tblPr>
        <w:tblLayout w:type="fixed"/>
        <w:tblInd w:w="370" w:type="dxa"/>
        <w:tblCellMar>
          <w:top w:w="0" w:type="dxa"/>
          <w:left w:w="0" w:type="dxa"/>
          <w:bottom w:w="0" w:type="dxa"/>
          <w:right w:w="0" w:type="dxa"/>
        </w:tblCellMar>
      </w:tblPr>
      <w:tr>
        <w:trPr>
          <w:trHeight w:val="375"/>
        </w:trPr>
        <w:tc>
          <w:tcPr>
            <w:tcW w:w="2200" w:type="dxa"/>
            <w:vAlign w:val="bottom"/>
            <w:tcBorders>
              <w:top w:val="single" w:sz="8" w:color="auto"/>
              <w:left w:val="single" w:sz="8" w:color="auto"/>
              <w:right w:val="single" w:sz="8" w:color="auto"/>
            </w:tcBorders>
          </w:tcPr>
          <w:p>
            <w:pPr>
              <w:jc w:val="center"/>
              <w:spacing w:after="0" w:line="366" w:lineRule="exact"/>
              <w:rPr>
                <w:sz w:val="20"/>
                <w:szCs w:val="20"/>
                <w:color w:val="auto"/>
              </w:rPr>
            </w:pPr>
            <w:r>
              <w:rPr>
                <w:rFonts w:ascii="宋体" w:cs="宋体" w:eastAsia="宋体" w:hAnsi="宋体"/>
                <w:sz w:val="32"/>
                <w:szCs w:val="32"/>
                <w:color w:val="auto"/>
                <w:w w:val="99"/>
              </w:rPr>
              <w:t>中文</w:t>
            </w:r>
          </w:p>
        </w:tc>
        <w:tc>
          <w:tcPr>
            <w:tcW w:w="6120" w:type="dxa"/>
            <w:vAlign w:val="bottom"/>
            <w:tcBorders>
              <w:top w:val="single" w:sz="8" w:color="auto"/>
              <w:right w:val="single" w:sz="8" w:color="auto"/>
            </w:tcBorders>
          </w:tcPr>
          <w:p>
            <w:pPr>
              <w:jc w:val="center"/>
              <w:spacing w:after="0" w:line="366" w:lineRule="exact"/>
              <w:rPr>
                <w:sz w:val="20"/>
                <w:szCs w:val="20"/>
                <w:color w:val="auto"/>
              </w:rPr>
            </w:pPr>
            <w:r>
              <w:rPr>
                <w:rFonts w:ascii="宋体" w:cs="宋体" w:eastAsia="宋体" w:hAnsi="宋体"/>
                <w:sz w:val="32"/>
                <w:szCs w:val="32"/>
                <w:color w:val="auto"/>
                <w:w w:val="99"/>
              </w:rPr>
              <w:t>英文</w:t>
            </w:r>
          </w:p>
        </w:tc>
        <w:tc>
          <w:tcPr>
            <w:tcW w:w="0" w:type="dxa"/>
            <w:vAlign w:val="bottom"/>
          </w:tcPr>
          <w:p>
            <w:pPr>
              <w:spacing w:after="0"/>
              <w:rPr>
                <w:sz w:val="1"/>
                <w:szCs w:val="1"/>
                <w:color w:val="auto"/>
              </w:rPr>
            </w:pPr>
          </w:p>
        </w:tc>
      </w:tr>
      <w:tr>
        <w:trPr>
          <w:trHeight w:val="254"/>
        </w:trPr>
        <w:tc>
          <w:tcPr>
            <w:tcW w:w="2200" w:type="dxa"/>
            <w:vAlign w:val="bottom"/>
            <w:tcBorders>
              <w:left w:val="single" w:sz="8" w:color="auto"/>
              <w:bottom w:val="single" w:sz="8" w:color="auto"/>
              <w:right w:val="single" w:sz="8" w:color="auto"/>
            </w:tcBorders>
          </w:tcPr>
          <w:p>
            <w:pPr>
              <w:spacing w:after="0"/>
              <w:rPr>
                <w:sz w:val="22"/>
                <w:szCs w:val="22"/>
                <w:color w:val="auto"/>
              </w:rPr>
            </w:pPr>
          </w:p>
        </w:tc>
        <w:tc>
          <w:tcPr>
            <w:tcW w:w="61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384"/>
        </w:trPr>
        <w:tc>
          <w:tcPr>
            <w:tcW w:w="2200" w:type="dxa"/>
            <w:vAlign w:val="bottom"/>
            <w:tcBorders>
              <w:left w:val="single" w:sz="8" w:color="auto"/>
              <w:right w:val="single" w:sz="8" w:color="auto"/>
            </w:tcBorders>
          </w:tcPr>
          <w:p>
            <w:pPr>
              <w:jc w:val="center"/>
              <w:spacing w:after="0" w:line="359" w:lineRule="exact"/>
              <w:rPr>
                <w:sz w:val="20"/>
                <w:szCs w:val="20"/>
                <w:color w:val="auto"/>
              </w:rPr>
            </w:pPr>
            <w:r>
              <w:rPr>
                <w:rFonts w:ascii="宋体" w:cs="宋体" w:eastAsia="宋体" w:hAnsi="宋体"/>
                <w:sz w:val="32"/>
                <w:szCs w:val="32"/>
                <w:color w:val="auto"/>
                <w:w w:val="99"/>
              </w:rPr>
              <w:t>检定敏感性</w:t>
            </w:r>
          </w:p>
        </w:tc>
        <w:tc>
          <w:tcPr>
            <w:tcW w:w="6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32"/>
                <w:szCs w:val="32"/>
                <w:color w:val="auto"/>
              </w:rPr>
              <w:t>assay sensitivity</w:t>
            </w:r>
          </w:p>
        </w:tc>
        <w:tc>
          <w:tcPr>
            <w:tcW w:w="0" w:type="dxa"/>
            <w:vAlign w:val="bottom"/>
          </w:tcPr>
          <w:p>
            <w:pPr>
              <w:spacing w:after="0"/>
              <w:rPr>
                <w:sz w:val="1"/>
                <w:szCs w:val="1"/>
                <w:color w:val="auto"/>
              </w:rPr>
            </w:pPr>
          </w:p>
        </w:tc>
      </w:tr>
      <w:tr>
        <w:trPr>
          <w:trHeight w:val="230"/>
        </w:trPr>
        <w:tc>
          <w:tcPr>
            <w:tcW w:w="2200" w:type="dxa"/>
            <w:vAlign w:val="bottom"/>
            <w:tcBorders>
              <w:left w:val="single" w:sz="8" w:color="auto"/>
              <w:bottom w:val="single" w:sz="8" w:color="auto"/>
              <w:right w:val="single" w:sz="8" w:color="auto"/>
            </w:tcBorders>
          </w:tcPr>
          <w:p>
            <w:pPr>
              <w:spacing w:after="0"/>
              <w:rPr>
                <w:sz w:val="19"/>
                <w:szCs w:val="19"/>
                <w:color w:val="auto"/>
              </w:rPr>
            </w:pPr>
          </w:p>
        </w:tc>
        <w:tc>
          <w:tcPr>
            <w:tcW w:w="6120" w:type="dxa"/>
            <w:vAlign w:val="bottom"/>
            <w:tcBorders>
              <w:bottom w:val="single" w:sz="8" w:color="auto"/>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384"/>
        </w:trPr>
        <w:tc>
          <w:tcPr>
            <w:tcW w:w="2200" w:type="dxa"/>
            <w:vAlign w:val="bottom"/>
            <w:tcBorders>
              <w:left w:val="single" w:sz="8" w:color="auto"/>
              <w:right w:val="single" w:sz="8" w:color="auto"/>
            </w:tcBorders>
          </w:tcPr>
          <w:p>
            <w:pPr>
              <w:jc w:val="center"/>
              <w:spacing w:after="0" w:line="359" w:lineRule="exact"/>
              <w:rPr>
                <w:sz w:val="20"/>
                <w:szCs w:val="20"/>
                <w:color w:val="auto"/>
              </w:rPr>
            </w:pPr>
            <w:r>
              <w:rPr>
                <w:rFonts w:ascii="宋体" w:cs="宋体" w:eastAsia="宋体" w:hAnsi="宋体"/>
                <w:sz w:val="32"/>
                <w:szCs w:val="32"/>
                <w:color w:val="auto"/>
                <w:w w:val="99"/>
              </w:rPr>
              <w:t>非劣效界值</w:t>
            </w:r>
          </w:p>
        </w:tc>
        <w:tc>
          <w:tcPr>
            <w:tcW w:w="6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32"/>
                <w:szCs w:val="32"/>
                <w:color w:val="auto"/>
              </w:rPr>
              <w:t>non-inferiority margin</w:t>
            </w:r>
          </w:p>
        </w:tc>
        <w:tc>
          <w:tcPr>
            <w:tcW w:w="0" w:type="dxa"/>
            <w:vAlign w:val="bottom"/>
          </w:tcPr>
          <w:p>
            <w:pPr>
              <w:spacing w:after="0"/>
              <w:rPr>
                <w:sz w:val="1"/>
                <w:szCs w:val="1"/>
                <w:color w:val="auto"/>
              </w:rPr>
            </w:pPr>
          </w:p>
        </w:tc>
      </w:tr>
      <w:tr>
        <w:trPr>
          <w:trHeight w:val="234"/>
        </w:trPr>
        <w:tc>
          <w:tcPr>
            <w:tcW w:w="2200" w:type="dxa"/>
            <w:vAlign w:val="bottom"/>
            <w:tcBorders>
              <w:left w:val="single" w:sz="8" w:color="auto"/>
              <w:bottom w:val="single" w:sz="8" w:color="auto"/>
              <w:right w:val="single" w:sz="8" w:color="auto"/>
            </w:tcBorders>
          </w:tcPr>
          <w:p>
            <w:pPr>
              <w:spacing w:after="0"/>
              <w:rPr>
                <w:sz w:val="20"/>
                <w:szCs w:val="20"/>
                <w:color w:val="auto"/>
              </w:rPr>
            </w:pPr>
          </w:p>
        </w:tc>
        <w:tc>
          <w:tcPr>
            <w:tcW w:w="61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84"/>
        </w:trPr>
        <w:tc>
          <w:tcPr>
            <w:tcW w:w="2200" w:type="dxa"/>
            <w:vAlign w:val="bottom"/>
            <w:tcBorders>
              <w:left w:val="single" w:sz="8" w:color="auto"/>
              <w:right w:val="single" w:sz="8" w:color="auto"/>
            </w:tcBorders>
          </w:tcPr>
          <w:p>
            <w:pPr>
              <w:jc w:val="center"/>
              <w:spacing w:after="0" w:line="355" w:lineRule="exact"/>
              <w:rPr>
                <w:sz w:val="20"/>
                <w:szCs w:val="20"/>
                <w:color w:val="auto"/>
              </w:rPr>
            </w:pPr>
            <w:r>
              <w:rPr>
                <w:rFonts w:ascii="宋体" w:cs="宋体" w:eastAsia="宋体" w:hAnsi="宋体"/>
                <w:sz w:val="32"/>
                <w:szCs w:val="32"/>
                <w:color w:val="auto"/>
                <w:w w:val="99"/>
              </w:rPr>
              <w:t>恒定假设</w:t>
            </w:r>
          </w:p>
        </w:tc>
        <w:tc>
          <w:tcPr>
            <w:tcW w:w="6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32"/>
                <w:szCs w:val="32"/>
                <w:color w:val="auto"/>
              </w:rPr>
              <w:t>constancy assumption</w:t>
            </w:r>
          </w:p>
        </w:tc>
        <w:tc>
          <w:tcPr>
            <w:tcW w:w="0" w:type="dxa"/>
            <w:vAlign w:val="bottom"/>
          </w:tcPr>
          <w:p>
            <w:pPr>
              <w:spacing w:after="0"/>
              <w:rPr>
                <w:sz w:val="1"/>
                <w:szCs w:val="1"/>
                <w:color w:val="auto"/>
              </w:rPr>
            </w:pPr>
          </w:p>
        </w:tc>
      </w:tr>
      <w:tr>
        <w:trPr>
          <w:trHeight w:val="230"/>
        </w:trPr>
        <w:tc>
          <w:tcPr>
            <w:tcW w:w="2200" w:type="dxa"/>
            <w:vAlign w:val="bottom"/>
            <w:tcBorders>
              <w:left w:val="single" w:sz="8" w:color="auto"/>
              <w:bottom w:val="single" w:sz="8" w:color="auto"/>
              <w:right w:val="single" w:sz="8" w:color="auto"/>
            </w:tcBorders>
          </w:tcPr>
          <w:p>
            <w:pPr>
              <w:spacing w:after="0"/>
              <w:rPr>
                <w:sz w:val="19"/>
                <w:szCs w:val="19"/>
                <w:color w:val="auto"/>
              </w:rPr>
            </w:pPr>
          </w:p>
        </w:tc>
        <w:tc>
          <w:tcPr>
            <w:tcW w:w="6120" w:type="dxa"/>
            <w:vAlign w:val="bottom"/>
            <w:tcBorders>
              <w:bottom w:val="single" w:sz="8" w:color="auto"/>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379"/>
        </w:trPr>
        <w:tc>
          <w:tcPr>
            <w:tcW w:w="2200" w:type="dxa"/>
            <w:vAlign w:val="bottom"/>
            <w:tcBorders>
              <w:left w:val="single" w:sz="8" w:color="auto"/>
              <w:right w:val="single" w:sz="8" w:color="auto"/>
            </w:tcBorders>
          </w:tcPr>
          <w:p>
            <w:pPr>
              <w:jc w:val="center"/>
              <w:spacing w:after="0" w:line="355" w:lineRule="exact"/>
              <w:rPr>
                <w:sz w:val="20"/>
                <w:szCs w:val="20"/>
                <w:color w:val="auto"/>
              </w:rPr>
            </w:pPr>
            <w:r>
              <w:rPr>
                <w:rFonts w:ascii="宋体" w:cs="宋体" w:eastAsia="宋体" w:hAnsi="宋体"/>
                <w:sz w:val="32"/>
                <w:szCs w:val="32"/>
                <w:color w:val="auto"/>
                <w:w w:val="99"/>
              </w:rPr>
              <w:t>固定界值法</w:t>
            </w:r>
          </w:p>
        </w:tc>
        <w:tc>
          <w:tcPr>
            <w:tcW w:w="6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32"/>
                <w:szCs w:val="32"/>
                <w:color w:val="auto"/>
                <w:w w:val="99"/>
              </w:rPr>
              <w:t>fixed margin method</w:t>
            </w:r>
          </w:p>
        </w:tc>
        <w:tc>
          <w:tcPr>
            <w:tcW w:w="0" w:type="dxa"/>
            <w:vAlign w:val="bottom"/>
          </w:tcPr>
          <w:p>
            <w:pPr>
              <w:spacing w:after="0"/>
              <w:rPr>
                <w:sz w:val="1"/>
                <w:szCs w:val="1"/>
                <w:color w:val="auto"/>
              </w:rPr>
            </w:pPr>
          </w:p>
        </w:tc>
      </w:tr>
      <w:tr>
        <w:trPr>
          <w:trHeight w:val="234"/>
        </w:trPr>
        <w:tc>
          <w:tcPr>
            <w:tcW w:w="2200" w:type="dxa"/>
            <w:vAlign w:val="bottom"/>
            <w:tcBorders>
              <w:left w:val="single" w:sz="8" w:color="auto"/>
              <w:bottom w:val="single" w:sz="8" w:color="auto"/>
              <w:right w:val="single" w:sz="8" w:color="auto"/>
            </w:tcBorders>
          </w:tcPr>
          <w:p>
            <w:pPr>
              <w:spacing w:after="0"/>
              <w:rPr>
                <w:sz w:val="20"/>
                <w:szCs w:val="20"/>
                <w:color w:val="auto"/>
              </w:rPr>
            </w:pPr>
          </w:p>
        </w:tc>
        <w:tc>
          <w:tcPr>
            <w:tcW w:w="61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84"/>
        </w:trPr>
        <w:tc>
          <w:tcPr>
            <w:tcW w:w="2200" w:type="dxa"/>
            <w:vAlign w:val="bottom"/>
            <w:tcBorders>
              <w:left w:val="single" w:sz="8" w:color="auto"/>
              <w:right w:val="single" w:sz="8" w:color="auto"/>
            </w:tcBorders>
          </w:tcPr>
          <w:p>
            <w:pPr>
              <w:jc w:val="center"/>
              <w:spacing w:after="0" w:line="355" w:lineRule="exact"/>
              <w:rPr>
                <w:sz w:val="20"/>
                <w:szCs w:val="20"/>
                <w:color w:val="auto"/>
              </w:rPr>
            </w:pPr>
            <w:r>
              <w:rPr>
                <w:rFonts w:ascii="宋体" w:cs="宋体" w:eastAsia="宋体" w:hAnsi="宋体"/>
                <w:sz w:val="32"/>
                <w:szCs w:val="32"/>
                <w:color w:val="auto"/>
                <w:w w:val="99"/>
              </w:rPr>
              <w:t>综合法</w:t>
            </w:r>
          </w:p>
        </w:tc>
        <w:tc>
          <w:tcPr>
            <w:tcW w:w="6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32"/>
                <w:szCs w:val="32"/>
                <w:color w:val="auto"/>
                <w:w w:val="99"/>
              </w:rPr>
              <w:t>synthesis method</w:t>
            </w:r>
          </w:p>
        </w:tc>
        <w:tc>
          <w:tcPr>
            <w:tcW w:w="0" w:type="dxa"/>
            <w:vAlign w:val="bottom"/>
          </w:tcPr>
          <w:p>
            <w:pPr>
              <w:spacing w:after="0"/>
              <w:rPr>
                <w:sz w:val="1"/>
                <w:szCs w:val="1"/>
                <w:color w:val="auto"/>
              </w:rPr>
            </w:pPr>
          </w:p>
        </w:tc>
      </w:tr>
      <w:tr>
        <w:trPr>
          <w:trHeight w:val="235"/>
        </w:trPr>
        <w:tc>
          <w:tcPr>
            <w:tcW w:w="2200" w:type="dxa"/>
            <w:vAlign w:val="bottom"/>
            <w:tcBorders>
              <w:left w:val="single" w:sz="8" w:color="auto"/>
              <w:bottom w:val="single" w:sz="8" w:color="auto"/>
              <w:right w:val="single" w:sz="8" w:color="auto"/>
            </w:tcBorders>
          </w:tcPr>
          <w:p>
            <w:pPr>
              <w:spacing w:after="0"/>
              <w:rPr>
                <w:sz w:val="20"/>
                <w:szCs w:val="20"/>
                <w:color w:val="auto"/>
              </w:rPr>
            </w:pPr>
          </w:p>
        </w:tc>
        <w:tc>
          <w:tcPr>
            <w:tcW w:w="61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46"/>
        </w:trPr>
        <w:tc>
          <w:tcPr>
            <w:tcW w:w="2200" w:type="dxa"/>
            <w:vAlign w:val="bottom"/>
            <w:tcBorders>
              <w:left w:val="single" w:sz="8" w:color="auto"/>
              <w:right w:val="single" w:sz="8" w:color="auto"/>
            </w:tcBorders>
            <w:vMerge w:val="restart"/>
          </w:tcPr>
          <w:p>
            <w:pPr>
              <w:jc w:val="center"/>
              <w:spacing w:after="0" w:line="366" w:lineRule="exact"/>
              <w:rPr>
                <w:sz w:val="20"/>
                <w:szCs w:val="20"/>
                <w:color w:val="auto"/>
              </w:rPr>
            </w:pPr>
            <w:r>
              <w:rPr>
                <w:rFonts w:ascii="宋体" w:cs="宋体" w:eastAsia="宋体" w:hAnsi="宋体"/>
                <w:sz w:val="32"/>
                <w:szCs w:val="32"/>
                <w:color w:val="auto"/>
                <w:w w:val="99"/>
              </w:rPr>
              <w:t>人用药品注册</w:t>
            </w:r>
          </w:p>
        </w:tc>
        <w:tc>
          <w:tcPr>
            <w:tcW w:w="6120" w:type="dxa"/>
            <w:vAlign w:val="bottom"/>
            <w:tcBorders>
              <w:right w:val="single" w:sz="8" w:color="auto"/>
            </w:tcBorders>
          </w:tcPr>
          <w:p>
            <w:pPr>
              <w:jc w:val="center"/>
              <w:spacing w:after="0" w:line="345" w:lineRule="exact"/>
              <w:rPr>
                <w:sz w:val="20"/>
                <w:szCs w:val="20"/>
                <w:color w:val="auto"/>
              </w:rPr>
            </w:pPr>
            <w:r>
              <w:rPr>
                <w:rFonts w:ascii="Times New Roman" w:cs="Times New Roman" w:eastAsia="Times New Roman" w:hAnsi="Times New Roman"/>
                <w:sz w:val="32"/>
                <w:szCs w:val="32"/>
                <w:color w:val="auto"/>
                <w:w w:val="99"/>
              </w:rPr>
              <w:t>the International Conference on</w:t>
            </w:r>
          </w:p>
        </w:tc>
        <w:tc>
          <w:tcPr>
            <w:tcW w:w="0" w:type="dxa"/>
            <w:vAlign w:val="bottom"/>
          </w:tcPr>
          <w:p>
            <w:pPr>
              <w:spacing w:after="0"/>
              <w:rPr>
                <w:sz w:val="1"/>
                <w:szCs w:val="1"/>
                <w:color w:val="auto"/>
              </w:rPr>
            </w:pPr>
          </w:p>
        </w:tc>
      </w:tr>
      <w:tr>
        <w:trPr>
          <w:trHeight w:val="178"/>
        </w:trPr>
        <w:tc>
          <w:tcPr>
            <w:tcW w:w="2200" w:type="dxa"/>
            <w:vAlign w:val="bottom"/>
            <w:tcBorders>
              <w:left w:val="single" w:sz="8" w:color="auto"/>
              <w:right w:val="single" w:sz="8" w:color="auto"/>
            </w:tcBorders>
            <w:vMerge w:val="continue"/>
          </w:tcPr>
          <w:p>
            <w:pPr>
              <w:spacing w:after="0"/>
              <w:rPr>
                <w:sz w:val="15"/>
                <w:szCs w:val="15"/>
                <w:color w:val="auto"/>
              </w:rPr>
            </w:pPr>
          </w:p>
        </w:tc>
        <w:tc>
          <w:tcPr>
            <w:tcW w:w="61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374"/>
        </w:trPr>
        <w:tc>
          <w:tcPr>
            <w:tcW w:w="2200" w:type="dxa"/>
            <w:vAlign w:val="bottom"/>
            <w:tcBorders>
              <w:left w:val="single" w:sz="8" w:color="auto"/>
              <w:right w:val="single" w:sz="8" w:color="auto"/>
            </w:tcBorders>
            <w:vMerge w:val="restart"/>
          </w:tcPr>
          <w:p>
            <w:pPr>
              <w:jc w:val="center"/>
              <w:spacing w:after="0" w:line="366" w:lineRule="exact"/>
              <w:rPr>
                <w:sz w:val="20"/>
                <w:szCs w:val="20"/>
                <w:color w:val="auto"/>
              </w:rPr>
            </w:pPr>
            <w:r>
              <w:rPr>
                <w:rFonts w:ascii="宋体" w:cs="宋体" w:eastAsia="宋体" w:hAnsi="宋体"/>
                <w:sz w:val="32"/>
                <w:szCs w:val="32"/>
                <w:color w:val="auto"/>
                <w:w w:val="99"/>
              </w:rPr>
              <w:t>技术要求国际</w:t>
            </w:r>
          </w:p>
        </w:tc>
        <w:tc>
          <w:tcPr>
            <w:tcW w:w="6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32"/>
                <w:szCs w:val="32"/>
                <w:color w:val="auto"/>
                <w:w w:val="99"/>
              </w:rPr>
              <w:t>Harmonisation of Technical Requirements for</w:t>
            </w:r>
          </w:p>
        </w:tc>
        <w:tc>
          <w:tcPr>
            <w:tcW w:w="0" w:type="dxa"/>
            <w:vAlign w:val="bottom"/>
          </w:tcPr>
          <w:p>
            <w:pPr>
              <w:spacing w:after="0"/>
              <w:rPr>
                <w:sz w:val="1"/>
                <w:szCs w:val="1"/>
                <w:color w:val="auto"/>
              </w:rPr>
            </w:pPr>
          </w:p>
        </w:tc>
      </w:tr>
      <w:tr>
        <w:trPr>
          <w:trHeight w:val="250"/>
        </w:trPr>
        <w:tc>
          <w:tcPr>
            <w:tcW w:w="2200" w:type="dxa"/>
            <w:vAlign w:val="bottom"/>
            <w:tcBorders>
              <w:left w:val="single" w:sz="8" w:color="auto"/>
              <w:right w:val="single" w:sz="8" w:color="auto"/>
            </w:tcBorders>
            <w:vMerge w:val="continue"/>
          </w:tcPr>
          <w:p>
            <w:pPr>
              <w:spacing w:after="0"/>
              <w:rPr>
                <w:sz w:val="21"/>
                <w:szCs w:val="21"/>
                <w:color w:val="auto"/>
              </w:rPr>
            </w:pPr>
          </w:p>
        </w:tc>
        <w:tc>
          <w:tcPr>
            <w:tcW w:w="61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32"/>
                <w:szCs w:val="32"/>
                <w:color w:val="auto"/>
                <w:w w:val="99"/>
              </w:rPr>
              <w:t>Registration of Pharmaceuticals for Human</w:t>
            </w:r>
          </w:p>
        </w:tc>
        <w:tc>
          <w:tcPr>
            <w:tcW w:w="0" w:type="dxa"/>
            <w:vAlign w:val="bottom"/>
          </w:tcPr>
          <w:p>
            <w:pPr>
              <w:spacing w:after="0"/>
              <w:rPr>
                <w:sz w:val="1"/>
                <w:szCs w:val="1"/>
                <w:color w:val="auto"/>
              </w:rPr>
            </w:pPr>
          </w:p>
        </w:tc>
      </w:tr>
      <w:tr>
        <w:trPr>
          <w:trHeight w:val="302"/>
        </w:trPr>
        <w:tc>
          <w:tcPr>
            <w:tcW w:w="2200" w:type="dxa"/>
            <w:vAlign w:val="bottom"/>
            <w:tcBorders>
              <w:left w:val="single" w:sz="8" w:color="auto"/>
              <w:right w:val="single" w:sz="8" w:color="auto"/>
            </w:tcBorders>
          </w:tcPr>
          <w:p>
            <w:pPr>
              <w:spacing w:after="0"/>
              <w:rPr>
                <w:sz w:val="24"/>
                <w:szCs w:val="24"/>
                <w:color w:val="auto"/>
              </w:rPr>
            </w:pPr>
          </w:p>
        </w:tc>
        <w:tc>
          <w:tcPr>
            <w:tcW w:w="612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322"/>
        </w:trPr>
        <w:tc>
          <w:tcPr>
            <w:tcW w:w="2200" w:type="dxa"/>
            <w:vAlign w:val="bottom"/>
            <w:tcBorders>
              <w:left w:val="single" w:sz="8" w:color="auto"/>
              <w:right w:val="single" w:sz="8" w:color="auto"/>
            </w:tcBorders>
          </w:tcPr>
          <w:p>
            <w:pPr>
              <w:jc w:val="center"/>
              <w:spacing w:after="0" w:line="321" w:lineRule="exact"/>
              <w:rPr>
                <w:sz w:val="20"/>
                <w:szCs w:val="20"/>
                <w:color w:val="auto"/>
              </w:rPr>
            </w:pPr>
            <w:r>
              <w:rPr>
                <w:rFonts w:ascii="宋体" w:cs="宋体" w:eastAsia="宋体" w:hAnsi="宋体"/>
                <w:sz w:val="32"/>
                <w:szCs w:val="32"/>
                <w:color w:val="auto"/>
                <w:w w:val="99"/>
              </w:rPr>
              <w:t>协调会议</w:t>
            </w:r>
          </w:p>
        </w:tc>
        <w:tc>
          <w:tcPr>
            <w:tcW w:w="61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32"/>
                <w:szCs w:val="32"/>
                <w:color w:val="auto"/>
                <w:w w:val="99"/>
              </w:rPr>
              <w:t>Use, ICH</w:t>
            </w:r>
          </w:p>
        </w:tc>
        <w:tc>
          <w:tcPr>
            <w:tcW w:w="0" w:type="dxa"/>
            <w:vAlign w:val="bottom"/>
          </w:tcPr>
          <w:p>
            <w:pPr>
              <w:spacing w:after="0"/>
              <w:rPr>
                <w:sz w:val="1"/>
                <w:szCs w:val="1"/>
                <w:color w:val="auto"/>
              </w:rPr>
            </w:pPr>
          </w:p>
        </w:tc>
      </w:tr>
      <w:tr>
        <w:trPr>
          <w:trHeight w:val="230"/>
        </w:trPr>
        <w:tc>
          <w:tcPr>
            <w:tcW w:w="2200" w:type="dxa"/>
            <w:vAlign w:val="bottom"/>
            <w:tcBorders>
              <w:left w:val="single" w:sz="8" w:color="auto"/>
              <w:right w:val="single" w:sz="8" w:color="auto"/>
            </w:tcBorders>
          </w:tcPr>
          <w:p>
            <w:pPr>
              <w:spacing w:after="0"/>
              <w:rPr>
                <w:sz w:val="20"/>
                <w:szCs w:val="20"/>
                <w:color w:val="auto"/>
              </w:rPr>
            </w:pPr>
          </w:p>
        </w:tc>
        <w:tc>
          <w:tcPr>
            <w:tcW w:w="6120" w:type="dxa"/>
            <w:vAlign w:val="bottom"/>
            <w:tcBorders>
              <w:right w:val="single" w:sz="8" w:color="auto"/>
            </w:tcBorders>
            <w:vMerge w:val="continue"/>
          </w:tcPr>
          <w:p>
            <w:pPr>
              <w:spacing w:after="0"/>
              <w:rPr>
                <w:sz w:val="20"/>
                <w:szCs w:val="20"/>
                <w:color w:val="auto"/>
              </w:rPr>
            </w:pPr>
          </w:p>
        </w:tc>
        <w:tc>
          <w:tcPr>
            <w:tcW w:w="0" w:type="dxa"/>
            <w:vAlign w:val="bottom"/>
          </w:tcPr>
          <w:p>
            <w:pPr>
              <w:spacing w:after="0"/>
              <w:rPr>
                <w:sz w:val="1"/>
                <w:szCs w:val="1"/>
                <w:color w:val="auto"/>
              </w:rPr>
            </w:pPr>
          </w:p>
        </w:tc>
      </w:tr>
      <w:tr>
        <w:trPr>
          <w:trHeight w:val="196"/>
        </w:trPr>
        <w:tc>
          <w:tcPr>
            <w:tcW w:w="2200" w:type="dxa"/>
            <w:vAlign w:val="bottom"/>
            <w:tcBorders>
              <w:left w:val="single" w:sz="8" w:color="auto"/>
              <w:bottom w:val="single" w:sz="8" w:color="auto"/>
              <w:right w:val="single" w:sz="8" w:color="auto"/>
            </w:tcBorders>
          </w:tcPr>
          <w:p>
            <w:pPr>
              <w:spacing w:after="0"/>
              <w:rPr>
                <w:sz w:val="17"/>
                <w:szCs w:val="17"/>
                <w:color w:val="auto"/>
              </w:rPr>
            </w:pPr>
          </w:p>
        </w:tc>
        <w:tc>
          <w:tcPr>
            <w:tcW w:w="612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384"/>
        </w:trPr>
        <w:tc>
          <w:tcPr>
            <w:tcW w:w="2200" w:type="dxa"/>
            <w:vAlign w:val="bottom"/>
            <w:tcBorders>
              <w:left w:val="single" w:sz="8" w:color="auto"/>
              <w:right w:val="single" w:sz="8" w:color="auto"/>
            </w:tcBorders>
          </w:tcPr>
          <w:p>
            <w:pPr>
              <w:jc w:val="center"/>
              <w:spacing w:after="0" w:line="355" w:lineRule="exact"/>
              <w:rPr>
                <w:sz w:val="20"/>
                <w:szCs w:val="20"/>
                <w:color w:val="auto"/>
              </w:rPr>
            </w:pPr>
            <w:r>
              <w:rPr>
                <w:rFonts w:ascii="宋体" w:cs="宋体" w:eastAsia="宋体" w:hAnsi="宋体"/>
                <w:sz w:val="32"/>
                <w:szCs w:val="32"/>
                <w:color w:val="auto"/>
                <w:w w:val="99"/>
              </w:rPr>
              <w:t>意向性治疗</w:t>
            </w:r>
          </w:p>
        </w:tc>
        <w:tc>
          <w:tcPr>
            <w:tcW w:w="6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32"/>
                <w:szCs w:val="32"/>
                <w:color w:val="auto"/>
              </w:rPr>
              <w:t>intention-to-treat, ITT</w:t>
            </w:r>
          </w:p>
        </w:tc>
        <w:tc>
          <w:tcPr>
            <w:tcW w:w="0" w:type="dxa"/>
            <w:vAlign w:val="bottom"/>
          </w:tcPr>
          <w:p>
            <w:pPr>
              <w:spacing w:after="0"/>
              <w:rPr>
                <w:sz w:val="1"/>
                <w:szCs w:val="1"/>
                <w:color w:val="auto"/>
              </w:rPr>
            </w:pPr>
          </w:p>
        </w:tc>
      </w:tr>
      <w:tr>
        <w:trPr>
          <w:trHeight w:val="234"/>
        </w:trPr>
        <w:tc>
          <w:tcPr>
            <w:tcW w:w="2200" w:type="dxa"/>
            <w:vAlign w:val="bottom"/>
            <w:tcBorders>
              <w:left w:val="single" w:sz="8" w:color="auto"/>
              <w:bottom w:val="single" w:sz="8" w:color="auto"/>
              <w:right w:val="single" w:sz="8" w:color="auto"/>
            </w:tcBorders>
          </w:tcPr>
          <w:p>
            <w:pPr>
              <w:spacing w:after="0"/>
              <w:rPr>
                <w:sz w:val="20"/>
                <w:szCs w:val="20"/>
                <w:color w:val="auto"/>
              </w:rPr>
            </w:pPr>
          </w:p>
        </w:tc>
        <w:tc>
          <w:tcPr>
            <w:tcW w:w="61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84"/>
        </w:trPr>
        <w:tc>
          <w:tcPr>
            <w:tcW w:w="2200" w:type="dxa"/>
            <w:vAlign w:val="bottom"/>
            <w:tcBorders>
              <w:left w:val="single" w:sz="8" w:color="auto"/>
              <w:right w:val="single" w:sz="8" w:color="auto"/>
            </w:tcBorders>
          </w:tcPr>
          <w:p>
            <w:pPr>
              <w:jc w:val="center"/>
              <w:spacing w:after="0" w:line="355" w:lineRule="exact"/>
              <w:rPr>
                <w:sz w:val="20"/>
                <w:szCs w:val="20"/>
                <w:color w:val="auto"/>
              </w:rPr>
            </w:pPr>
            <w:r>
              <w:rPr>
                <w:rFonts w:ascii="宋体" w:cs="宋体" w:eastAsia="宋体" w:hAnsi="宋体"/>
                <w:sz w:val="32"/>
                <w:szCs w:val="32"/>
                <w:color w:val="auto"/>
                <w:w w:val="99"/>
              </w:rPr>
              <w:t>符合方案集</w:t>
            </w:r>
          </w:p>
        </w:tc>
        <w:tc>
          <w:tcPr>
            <w:tcW w:w="6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32"/>
                <w:szCs w:val="32"/>
                <w:color w:val="auto"/>
                <w:w w:val="99"/>
              </w:rPr>
              <w:t>per protocol set, PPS</w:t>
            </w:r>
          </w:p>
        </w:tc>
        <w:tc>
          <w:tcPr>
            <w:tcW w:w="0" w:type="dxa"/>
            <w:vAlign w:val="bottom"/>
          </w:tcPr>
          <w:p>
            <w:pPr>
              <w:spacing w:after="0"/>
              <w:rPr>
                <w:sz w:val="1"/>
                <w:szCs w:val="1"/>
                <w:color w:val="auto"/>
              </w:rPr>
            </w:pPr>
          </w:p>
        </w:tc>
      </w:tr>
      <w:tr>
        <w:trPr>
          <w:trHeight w:val="234"/>
        </w:trPr>
        <w:tc>
          <w:tcPr>
            <w:tcW w:w="2200" w:type="dxa"/>
            <w:vAlign w:val="bottom"/>
            <w:tcBorders>
              <w:left w:val="single" w:sz="8" w:color="auto"/>
              <w:bottom w:val="single" w:sz="8" w:color="auto"/>
              <w:right w:val="single" w:sz="8" w:color="auto"/>
            </w:tcBorders>
          </w:tcPr>
          <w:p>
            <w:pPr>
              <w:spacing w:after="0"/>
              <w:rPr>
                <w:sz w:val="20"/>
                <w:szCs w:val="20"/>
                <w:color w:val="auto"/>
              </w:rPr>
            </w:pPr>
          </w:p>
        </w:tc>
        <w:tc>
          <w:tcPr>
            <w:tcW w:w="61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6" w:lineRule="exact"/>
        <w:rPr>
          <w:sz w:val="20"/>
          <w:szCs w:val="20"/>
          <w:color w:val="auto"/>
        </w:rPr>
      </w:pPr>
    </w:p>
    <w:p>
      <w:pPr>
        <w:jc w:val="center"/>
        <w:ind w:right="4"/>
        <w:spacing w:after="0"/>
        <w:rPr>
          <w:sz w:val="20"/>
          <w:szCs w:val="20"/>
          <w:color w:val="auto"/>
        </w:rPr>
      </w:pPr>
      <w:r>
        <w:rPr>
          <w:rFonts w:ascii="Calibri" w:cs="Calibri" w:eastAsia="Calibri" w:hAnsi="Calibri"/>
          <w:sz w:val="17"/>
          <w:szCs w:val="17"/>
          <w:color w:val="auto"/>
        </w:rPr>
        <w:t>11</w:t>
      </w:r>
    </w:p>
    <w:p>
      <w:pPr>
        <w:sectPr>
          <w:pgSz w:w="11900" w:h="16838" w:orient="portrait"/>
          <w:cols w:equalWidth="0" w:num="1">
            <w:col w:w="9024"/>
          </w:cols>
          <w:pgMar w:left="1440" w:top="1440" w:right="1440" w:bottom="433" w:gutter="0" w:footer="0" w:header="0"/>
          <w:type w:val="continuous"/>
        </w:sectPr>
      </w:pPr>
    </w:p>
    <w:bookmarkStart w:id="13" w:name="page14"/>
    <w:bookmarkEnd w:id="13"/>
    <w:p>
      <w:pPr>
        <w:spacing w:after="0" w:line="1" w:lineRule="exact"/>
        <w:rPr>
          <w:sz w:val="20"/>
          <w:szCs w:val="20"/>
          <w:color w:val="auto"/>
        </w:rPr>
      </w:pPr>
    </w:p>
    <w:p>
      <w:pPr>
        <w:ind w:left="1000"/>
        <w:spacing w:after="0" w:line="390" w:lineRule="exact"/>
        <w:rPr>
          <w:sz w:val="20"/>
          <w:szCs w:val="20"/>
          <w:color w:val="auto"/>
        </w:rPr>
      </w:pPr>
      <w:r>
        <w:rPr>
          <w:rFonts w:ascii="黑体" w:cs="黑体" w:eastAsia="黑体" w:hAnsi="黑体"/>
          <w:sz w:val="32"/>
          <w:szCs w:val="32"/>
          <w:color w:val="auto"/>
        </w:rPr>
        <w:t>附录</w:t>
      </w:r>
      <w:r>
        <w:rPr>
          <w:rFonts w:ascii="Times New Roman" w:cs="Times New Roman" w:eastAsia="Times New Roman" w:hAnsi="Times New Roman"/>
          <w:sz w:val="32"/>
          <w:szCs w:val="32"/>
          <w:color w:val="auto"/>
        </w:rPr>
        <w:t xml:space="preserve"> 2</w:t>
      </w:r>
      <w:r>
        <w:rPr>
          <w:rFonts w:ascii="黑体" w:cs="黑体" w:eastAsia="黑体" w:hAnsi="黑体"/>
          <w:sz w:val="32"/>
          <w:szCs w:val="32"/>
          <w:color w:val="auto"/>
        </w:rPr>
        <w:t>：主要公式</w:t>
      </w:r>
    </w:p>
    <w:p>
      <w:pPr>
        <w:spacing w:after="0" w:line="235"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（一）固定界值法</w:t>
      </w:r>
    </w:p>
    <w:p>
      <w:pPr>
        <w:ind w:left="1400" w:hanging="401"/>
        <w:spacing w:after="0" w:line="692" w:lineRule="exact"/>
        <w:tabs>
          <w:tab w:leader="none" w:pos="1400" w:val="left"/>
        </w:tabs>
        <w:numPr>
          <w:ilvl w:val="0"/>
          <w:numId w:val="3"/>
        </w:numPr>
        <w:rPr>
          <w:rFonts w:ascii="宋体" w:cs="宋体" w:eastAsia="宋体" w:hAnsi="宋体"/>
          <w:sz w:val="14"/>
          <w:szCs w:val="14"/>
          <w:color w:val="auto"/>
        </w:rPr>
      </w:pPr>
      <w:r>
        <w:rPr>
          <w:rFonts w:ascii="Times New Roman" w:cs="Times New Roman" w:eastAsia="Times New Roman" w:hAnsi="Times New Roman"/>
          <w:sz w:val="14"/>
          <w:szCs w:val="14"/>
          <w:i w:val="1"/>
          <w:iCs w:val="1"/>
          <w:color w:val="auto"/>
        </w:rPr>
        <w:t>M</w:t>
      </w:r>
      <w:r>
        <w:rPr>
          <w:rFonts w:ascii="Times New Roman" w:cs="Times New Roman" w:eastAsia="Times New Roman" w:hAnsi="Times New Roman"/>
          <w:sz w:val="12"/>
          <w:szCs w:val="12"/>
          <w:color w:val="auto"/>
        </w:rPr>
        <w:t>1</w:t>
      </w:r>
      <w:r>
        <w:rPr>
          <w:rFonts w:ascii="Times New Roman" w:cs="Times New Roman" w:eastAsia="Times New Roman" w:hAnsi="Times New Roman"/>
          <w:sz w:val="14"/>
          <w:szCs w:val="14"/>
          <w:i w:val="1"/>
          <w:iCs w:val="1"/>
          <w:color w:val="auto"/>
        </w:rPr>
        <w:t xml:space="preserve"> </w:t>
      </w:r>
      <w:r>
        <w:rPr>
          <w:rFonts w:ascii="宋体" w:cs="宋体" w:eastAsia="宋体" w:hAnsi="宋体"/>
          <w:sz w:val="14"/>
          <w:szCs w:val="14"/>
          <w:color w:val="auto"/>
        </w:rPr>
        <w:t>为绝对度量，则</w:t>
      </w:r>
      <w:r>
        <w:rPr>
          <w:rFonts w:ascii="Times New Roman" w:cs="Times New Roman" w:eastAsia="Times New Roman" w:hAnsi="Times New Roman"/>
          <w:sz w:val="14"/>
          <w:szCs w:val="14"/>
          <w:i w:val="1"/>
          <w:iCs w:val="1"/>
          <w:color w:val="auto"/>
        </w:rPr>
        <w:t xml:space="preserve"> M</w:t>
      </w:r>
      <w:r>
        <w:rPr>
          <w:rFonts w:ascii="Times New Roman" w:cs="Times New Roman" w:eastAsia="Times New Roman" w:hAnsi="Times New Roman"/>
          <w:sz w:val="12"/>
          <w:szCs w:val="12"/>
          <w:color w:val="auto"/>
        </w:rPr>
        <w:t>2</w:t>
      </w:r>
      <w:r>
        <w:rPr>
          <w:rFonts w:ascii="Times New Roman" w:cs="Times New Roman" w:eastAsia="Times New Roman" w:hAnsi="Times New Roman"/>
          <w:sz w:val="14"/>
          <w:szCs w:val="14"/>
          <w:color w:val="auto"/>
        </w:rPr>
        <w:t>=</w:t>
      </w:r>
      <w:r>
        <w:rPr>
          <w:rFonts w:ascii="Cambria Math" w:cs="Cambria Math" w:eastAsia="Cambria Math" w:hAnsi="Cambria Math"/>
          <w:sz w:val="14"/>
          <w:szCs w:val="14"/>
          <w:color w:val="auto"/>
        </w:rPr>
        <w:t>(1 −  )</w:t>
      </w:r>
      <w:r>
        <w:rPr>
          <w:rFonts w:ascii="Times New Roman" w:cs="Times New Roman" w:eastAsia="Times New Roman" w:hAnsi="Times New Roman"/>
          <w:sz w:val="14"/>
          <w:szCs w:val="14"/>
          <w:i w:val="1"/>
          <w:iCs w:val="1"/>
          <w:color w:val="auto"/>
        </w:rPr>
        <w:t xml:space="preserve"> </w:t>
      </w:r>
      <w:r>
        <w:rPr>
          <w:rFonts w:ascii="Cambria Math" w:cs="Cambria Math" w:eastAsia="Cambria Math" w:hAnsi="Cambria Math"/>
          <w:sz w:val="16"/>
          <w:szCs w:val="16"/>
          <w:color w:val="auto"/>
          <w:vertAlign w:val="subscript"/>
        </w:rPr>
        <w:t>1</w:t>
      </w:r>
    </w:p>
    <w:p>
      <w:pPr>
        <w:spacing w:after="0" w:line="1" w:lineRule="exact"/>
        <w:rPr>
          <w:rFonts w:ascii="宋体" w:cs="宋体" w:eastAsia="宋体" w:hAnsi="宋体"/>
          <w:sz w:val="14"/>
          <w:szCs w:val="14"/>
          <w:color w:val="auto"/>
        </w:rPr>
      </w:pPr>
    </w:p>
    <w:p>
      <w:pPr>
        <w:ind w:left="1400" w:hanging="401"/>
        <w:spacing w:after="0" w:line="791" w:lineRule="exact"/>
        <w:tabs>
          <w:tab w:leader="none" w:pos="1400" w:val="left"/>
        </w:tabs>
        <w:numPr>
          <w:ilvl w:val="0"/>
          <w:numId w:val="3"/>
        </w:numPr>
        <w:rPr>
          <w:rFonts w:ascii="宋体" w:cs="宋体" w:eastAsia="宋体" w:hAnsi="宋体"/>
          <w:sz w:val="18"/>
          <w:szCs w:val="18"/>
          <w:color w:val="auto"/>
          <w:vertAlign w:val="subscript"/>
        </w:rPr>
      </w:pPr>
      <w:r>
        <w:rPr>
          <w:rFonts w:ascii="Times New Roman" w:cs="Times New Roman" w:eastAsia="Times New Roman" w:hAnsi="Times New Roman"/>
          <w:sz w:val="18"/>
          <w:szCs w:val="18"/>
          <w:i w:val="1"/>
          <w:iCs w:val="1"/>
          <w:color w:val="auto"/>
          <w:vertAlign w:val="subscript"/>
        </w:rPr>
        <w:t>M</w:t>
      </w:r>
      <w:r>
        <w:rPr>
          <w:rFonts w:ascii="Times New Roman" w:cs="Times New Roman" w:eastAsia="Times New Roman" w:hAnsi="Times New Roman"/>
          <w:sz w:val="15"/>
          <w:szCs w:val="15"/>
          <w:color w:val="auto"/>
          <w:vertAlign w:val="subscript"/>
        </w:rPr>
        <w:t>1</w:t>
      </w:r>
      <w:r>
        <w:rPr>
          <w:rFonts w:ascii="Cambria Math" w:cs="Cambria Math" w:eastAsia="Cambria Math" w:hAnsi="Cambria Math"/>
          <w:sz w:val="13"/>
          <w:szCs w:val="13"/>
          <w:color w:val="auto"/>
        </w:rPr>
        <w:t xml:space="preserve"> </w:t>
      </w:r>
      <w:r>
        <w:rPr>
          <w:rFonts w:ascii="宋体" w:cs="宋体" w:eastAsia="宋体" w:hAnsi="宋体"/>
          <w:sz w:val="18"/>
          <w:szCs w:val="18"/>
          <w:color w:val="auto"/>
          <w:vertAlign w:val="subscript"/>
        </w:rPr>
        <w:t>为相对度量，则</w:t>
      </w:r>
      <w:r>
        <w:rPr>
          <w:rFonts w:ascii="Cambria Math" w:cs="Cambria Math" w:eastAsia="Cambria Math" w:hAnsi="Cambria Math"/>
          <w:sz w:val="13"/>
          <w:szCs w:val="13"/>
          <w:color w:val="auto"/>
        </w:rPr>
        <w:t xml:space="preserve"> </w:t>
      </w:r>
      <w:r>
        <w:rPr>
          <w:rFonts w:ascii="Times New Roman" w:cs="Times New Roman" w:eastAsia="Times New Roman" w:hAnsi="Times New Roman"/>
          <w:sz w:val="18"/>
          <w:szCs w:val="18"/>
          <w:i w:val="1"/>
          <w:iCs w:val="1"/>
          <w:color w:val="auto"/>
          <w:vertAlign w:val="subscript"/>
        </w:rPr>
        <w:t>M</w:t>
      </w:r>
      <w:r>
        <w:rPr>
          <w:rFonts w:ascii="Times New Roman" w:cs="Times New Roman" w:eastAsia="Times New Roman" w:hAnsi="Times New Roman"/>
          <w:sz w:val="15"/>
          <w:szCs w:val="15"/>
          <w:color w:val="auto"/>
          <w:vertAlign w:val="subscript"/>
        </w:rPr>
        <w:t>2</w:t>
      </w:r>
      <w:r>
        <w:rPr>
          <w:rFonts w:ascii="Times New Roman" w:cs="Times New Roman" w:eastAsia="Times New Roman" w:hAnsi="Times New Roman"/>
          <w:sz w:val="18"/>
          <w:szCs w:val="18"/>
          <w:color w:val="auto"/>
          <w:vertAlign w:val="subscript"/>
        </w:rPr>
        <w:t>=</w:t>
      </w:r>
      <w:r>
        <w:rPr>
          <w:rFonts w:ascii="Cambria Math" w:cs="Cambria Math" w:eastAsia="Cambria Math" w:hAnsi="Cambria Math"/>
          <w:sz w:val="13"/>
          <w:szCs w:val="13"/>
          <w:color w:val="auto"/>
        </w:rPr>
        <w:t xml:space="preserve">  </w:t>
      </w:r>
      <w:r>
        <w:rPr>
          <w:rFonts w:ascii="Cambria Math" w:cs="Cambria Math" w:eastAsia="Cambria Math" w:hAnsi="Cambria Math"/>
          <w:sz w:val="16"/>
          <w:szCs w:val="16"/>
          <w:color w:val="auto"/>
          <w:vertAlign w:val="superscript"/>
        </w:rPr>
        <w:t xml:space="preserve">(1−  )ln(  </w:t>
      </w:r>
      <w:r>
        <w:rPr>
          <w:rFonts w:ascii="Cambria Math" w:cs="Cambria Math" w:eastAsia="Cambria Math" w:hAnsi="Cambria Math"/>
          <w:sz w:val="13"/>
          <w:szCs w:val="13"/>
          <w:color w:val="auto"/>
        </w:rPr>
        <w:t>1</w:t>
      </w:r>
      <w:r>
        <w:rPr>
          <w:rFonts w:ascii="Cambria Math" w:cs="Cambria Math" w:eastAsia="Cambria Math" w:hAnsi="Cambria Math"/>
          <w:sz w:val="16"/>
          <w:szCs w:val="16"/>
          <w:color w:val="auto"/>
          <w:vertAlign w:val="superscript"/>
        </w:rPr>
        <w:t>)</w:t>
      </w:r>
    </w:p>
    <w:p>
      <w:pPr>
        <w:spacing w:after="0" w:line="34"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（二）综合法</w:t>
      </w:r>
    </w:p>
    <w:p>
      <w:pPr>
        <w:spacing w:after="0" w:line="254"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对于绝对度量的疗效评价，</w:t>
      </w:r>
    </w:p>
    <w:tbl>
      <w:tblPr>
        <w:tblLayout w:type="fixed"/>
        <w:tblInd w:w="1000" w:type="dxa"/>
        <w:tblCellMar>
          <w:top w:w="0" w:type="dxa"/>
          <w:left w:w="0" w:type="dxa"/>
          <w:bottom w:w="0" w:type="dxa"/>
          <w:right w:w="0" w:type="dxa"/>
        </w:tblCellMar>
      </w:tblPr>
      <w:tr>
        <w:trPr>
          <w:trHeight w:val="527"/>
        </w:trPr>
        <w:tc>
          <w:tcPr>
            <w:tcW w:w="16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980" w:type="dxa"/>
            <w:vAlign w:val="bottom"/>
          </w:tcPr>
          <w:p>
            <w:pPr>
              <w:ind w:left="40"/>
              <w:spacing w:after="0" w:line="525" w:lineRule="exact"/>
              <w:rPr>
                <w:sz w:val="20"/>
                <w:szCs w:val="20"/>
                <w:color w:val="auto"/>
              </w:rPr>
            </w:pPr>
            <w:r>
              <w:rPr>
                <w:rFonts w:ascii="Cambria Math" w:cs="Cambria Math" w:eastAsia="Cambria Math" w:hAnsi="Cambria Math"/>
                <w:sz w:val="12"/>
                <w:szCs w:val="12"/>
                <w:color w:val="auto"/>
              </w:rPr>
              <w:t>̂</w:t>
            </w:r>
          </w:p>
        </w:tc>
        <w:tc>
          <w:tcPr>
            <w:tcW w:w="2480" w:type="dxa"/>
            <w:vAlign w:val="bottom"/>
          </w:tcPr>
          <w:p>
            <w:pPr>
              <w:ind w:left="1700"/>
              <w:spacing w:after="0" w:line="525" w:lineRule="exact"/>
              <w:rPr>
                <w:sz w:val="20"/>
                <w:szCs w:val="20"/>
                <w:color w:val="auto"/>
              </w:rPr>
            </w:pPr>
            <w:r>
              <w:rPr>
                <w:rFonts w:ascii="Cambria Math" w:cs="Cambria Math" w:eastAsia="Cambria Math" w:hAnsi="Cambria Math"/>
                <w:sz w:val="12"/>
                <w:szCs w:val="12"/>
                <w:color w:val="auto"/>
              </w:rPr>
              <w:t>̂</w:t>
            </w:r>
          </w:p>
        </w:tc>
        <w:tc>
          <w:tcPr>
            <w:tcW w:w="2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16"/>
        </w:trPr>
        <w:tc>
          <w:tcPr>
            <w:tcW w:w="1860" w:type="dxa"/>
            <w:vAlign w:val="bottom"/>
            <w:gridSpan w:val="3"/>
            <w:vMerge w:val="restart"/>
          </w:tcPr>
          <w:p>
            <w:pPr>
              <w:ind w:left="1320"/>
              <w:spacing w:after="0" w:line="297" w:lineRule="exact"/>
              <w:rPr>
                <w:sz w:val="20"/>
                <w:szCs w:val="20"/>
                <w:color w:val="auto"/>
              </w:rPr>
            </w:pPr>
            <w:r>
              <w:rPr>
                <w:rFonts w:ascii="Cambria Math" w:cs="Cambria Math" w:eastAsia="Cambria Math" w:hAnsi="Cambria Math"/>
                <w:sz w:val="7"/>
                <w:szCs w:val="7"/>
                <w:color w:val="auto"/>
              </w:rPr>
              <w:t>=</w:t>
            </w:r>
          </w:p>
        </w:tc>
        <w:tc>
          <w:tcPr>
            <w:tcW w:w="80" w:type="dxa"/>
            <w:vAlign w:val="bottom"/>
          </w:tcPr>
          <w:p>
            <w:pPr>
              <w:spacing w:after="0"/>
              <w:rPr>
                <w:sz w:val="18"/>
                <w:szCs w:val="18"/>
                <w:color w:val="auto"/>
              </w:rPr>
            </w:pPr>
          </w:p>
        </w:tc>
        <w:tc>
          <w:tcPr>
            <w:tcW w:w="1240" w:type="dxa"/>
            <w:vAlign w:val="bottom"/>
            <w:gridSpan w:val="2"/>
          </w:tcPr>
          <w:p>
            <w:pPr>
              <w:jc w:val="right"/>
              <w:ind w:right="25"/>
              <w:spacing w:after="0" w:line="216" w:lineRule="exact"/>
              <w:rPr>
                <w:sz w:val="20"/>
                <w:szCs w:val="20"/>
                <w:color w:val="auto"/>
              </w:rPr>
            </w:pPr>
            <w:r>
              <w:rPr>
                <w:rFonts w:ascii="Cambria Math" w:cs="Cambria Math" w:eastAsia="Cambria Math" w:hAnsi="Cambria Math"/>
                <w:sz w:val="5"/>
                <w:szCs w:val="5"/>
                <w:color w:val="auto"/>
              </w:rPr>
              <w:t>(  −  )</w:t>
            </w:r>
          </w:p>
        </w:tc>
        <w:tc>
          <w:tcPr>
            <w:tcW w:w="2860" w:type="dxa"/>
            <w:vAlign w:val="bottom"/>
            <w:gridSpan w:val="4"/>
          </w:tcPr>
          <w:p>
            <w:pPr>
              <w:ind w:left="20"/>
              <w:spacing w:after="0" w:line="216" w:lineRule="exact"/>
              <w:rPr>
                <w:sz w:val="20"/>
                <w:szCs w:val="20"/>
                <w:color w:val="auto"/>
              </w:rPr>
            </w:pPr>
            <w:r>
              <w:rPr>
                <w:rFonts w:ascii="Cambria Math" w:cs="Cambria Math" w:eastAsia="Cambria Math" w:hAnsi="Cambria Math"/>
                <w:sz w:val="3"/>
                <w:szCs w:val="3"/>
                <w:color w:val="auto"/>
              </w:rPr>
              <w:t xml:space="preserve">+ (1 −  )(  </w:t>
            </w:r>
            <w:r>
              <w:rPr>
                <w:rFonts w:ascii="Cambria Math" w:cs="Cambria Math" w:eastAsia="Cambria Math" w:hAnsi="Cambria Math"/>
                <w:sz w:val="5"/>
                <w:szCs w:val="5"/>
                <w:color w:val="auto"/>
                <w:vertAlign w:val="subscript"/>
              </w:rPr>
              <w:t>ℎ</w:t>
            </w:r>
            <w:r>
              <w:rPr>
                <w:rFonts w:ascii="Cambria Math" w:cs="Cambria Math" w:eastAsia="Cambria Math" w:hAnsi="Cambria Math"/>
                <w:sz w:val="3"/>
                <w:szCs w:val="3"/>
                <w:color w:val="auto"/>
              </w:rPr>
              <w:t xml:space="preserve"> −   )</w:t>
            </w:r>
          </w:p>
        </w:tc>
        <w:tc>
          <w:tcPr>
            <w:tcW w:w="0" w:type="dxa"/>
            <w:vAlign w:val="bottom"/>
          </w:tcPr>
          <w:p>
            <w:pPr>
              <w:spacing w:after="0"/>
              <w:rPr>
                <w:sz w:val="1"/>
                <w:szCs w:val="1"/>
                <w:color w:val="auto"/>
              </w:rPr>
            </w:pPr>
          </w:p>
        </w:tc>
      </w:tr>
      <w:tr>
        <w:trPr>
          <w:trHeight w:val="62"/>
        </w:trPr>
        <w:tc>
          <w:tcPr>
            <w:tcW w:w="1860" w:type="dxa"/>
            <w:vAlign w:val="bottom"/>
            <w:gridSpan w:val="3"/>
            <w:vMerge w:val="continue"/>
          </w:tcPr>
          <w:p>
            <w:pPr>
              <w:spacing w:after="0"/>
              <w:rPr>
                <w:sz w:val="5"/>
                <w:szCs w:val="5"/>
                <w:color w:val="auto"/>
              </w:rPr>
            </w:pPr>
          </w:p>
        </w:tc>
        <w:tc>
          <w:tcPr>
            <w:tcW w:w="80" w:type="dxa"/>
            <w:vAlign w:val="bottom"/>
          </w:tcPr>
          <w:p>
            <w:pPr>
              <w:spacing w:after="0"/>
              <w:rPr>
                <w:sz w:val="5"/>
                <w:szCs w:val="5"/>
                <w:color w:val="auto"/>
              </w:rPr>
            </w:pPr>
          </w:p>
        </w:tc>
        <w:tc>
          <w:tcPr>
            <w:tcW w:w="260" w:type="dxa"/>
            <w:vAlign w:val="bottom"/>
            <w:tcBorders>
              <w:top w:val="single" w:sz="8" w:color="auto"/>
            </w:tcBorders>
          </w:tcPr>
          <w:p>
            <w:pPr>
              <w:spacing w:after="0"/>
              <w:rPr>
                <w:sz w:val="5"/>
                <w:szCs w:val="5"/>
                <w:color w:val="auto"/>
              </w:rPr>
            </w:pPr>
          </w:p>
        </w:tc>
        <w:tc>
          <w:tcPr>
            <w:tcW w:w="980" w:type="dxa"/>
            <w:vAlign w:val="bottom"/>
            <w:tcBorders>
              <w:top w:val="single" w:sz="8" w:color="auto"/>
              <w:bottom w:val="single" w:sz="8" w:color="auto"/>
            </w:tcBorders>
          </w:tcPr>
          <w:p>
            <w:pPr>
              <w:spacing w:after="0"/>
              <w:rPr>
                <w:sz w:val="5"/>
                <w:szCs w:val="5"/>
                <w:color w:val="auto"/>
              </w:rPr>
            </w:pPr>
          </w:p>
        </w:tc>
        <w:tc>
          <w:tcPr>
            <w:tcW w:w="2480" w:type="dxa"/>
            <w:vAlign w:val="bottom"/>
            <w:tcBorders>
              <w:top w:val="single" w:sz="8" w:color="auto"/>
              <w:bottom w:val="single" w:sz="8" w:color="auto"/>
            </w:tcBorders>
          </w:tcPr>
          <w:p>
            <w:pPr>
              <w:spacing w:after="0"/>
              <w:rPr>
                <w:sz w:val="5"/>
                <w:szCs w:val="5"/>
                <w:color w:val="auto"/>
              </w:rPr>
            </w:pPr>
          </w:p>
        </w:tc>
        <w:tc>
          <w:tcPr>
            <w:tcW w:w="20" w:type="dxa"/>
            <w:vAlign w:val="bottom"/>
            <w:tcBorders>
              <w:top w:val="single" w:sz="8" w:color="auto"/>
              <w:bottom w:val="single" w:sz="8" w:color="auto"/>
            </w:tcBorders>
          </w:tcPr>
          <w:p>
            <w:pPr>
              <w:spacing w:after="0"/>
              <w:rPr>
                <w:sz w:val="5"/>
                <w:szCs w:val="5"/>
                <w:color w:val="auto"/>
              </w:rPr>
            </w:pPr>
          </w:p>
        </w:tc>
        <w:tc>
          <w:tcPr>
            <w:tcW w:w="20" w:type="dxa"/>
            <w:vAlign w:val="bottom"/>
            <w:tcBorders>
              <w:top w:val="single" w:sz="8" w:color="auto"/>
            </w:tcBorders>
          </w:tcPr>
          <w:p>
            <w:pPr>
              <w:spacing w:after="0"/>
              <w:rPr>
                <w:sz w:val="5"/>
                <w:szCs w:val="5"/>
                <w:color w:val="auto"/>
              </w:rPr>
            </w:pPr>
          </w:p>
        </w:tc>
        <w:tc>
          <w:tcPr>
            <w:tcW w:w="34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417"/>
        </w:trPr>
        <w:tc>
          <w:tcPr>
            <w:tcW w:w="16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260" w:type="dxa"/>
            <w:vAlign w:val="bottom"/>
            <w:vMerge w:val="restart"/>
          </w:tcPr>
          <w:p>
            <w:pPr>
              <w:jc w:val="right"/>
              <w:spacing w:after="0" w:line="489" w:lineRule="exact"/>
              <w:rPr>
                <w:sz w:val="20"/>
                <w:szCs w:val="20"/>
                <w:color w:val="auto"/>
              </w:rPr>
            </w:pPr>
            <w:r>
              <w:rPr>
                <w:rFonts w:ascii="Cambria Math" w:cs="Cambria Math" w:eastAsia="Cambria Math" w:hAnsi="Cambria Math"/>
                <w:sz w:val="11"/>
                <w:szCs w:val="11"/>
                <w:color w:val="auto"/>
              </w:rPr>
              <w:t>√</w:t>
            </w:r>
          </w:p>
        </w:tc>
        <w:tc>
          <w:tcPr>
            <w:tcW w:w="980" w:type="dxa"/>
            <w:vAlign w:val="bottom"/>
          </w:tcPr>
          <w:p>
            <w:pPr>
              <w:spacing w:after="0" w:line="417" w:lineRule="exact"/>
              <w:rPr>
                <w:sz w:val="20"/>
                <w:szCs w:val="20"/>
                <w:color w:val="auto"/>
              </w:rPr>
            </w:pPr>
            <w:r>
              <w:rPr>
                <w:rFonts w:ascii="Cambria Math" w:cs="Cambria Math" w:eastAsia="Cambria Math" w:hAnsi="Cambria Math"/>
                <w:sz w:val="9"/>
                <w:szCs w:val="9"/>
                <w:color w:val="auto"/>
                <w:vertAlign w:val="superscript"/>
              </w:rPr>
              <w:t>2</w:t>
            </w:r>
          </w:p>
        </w:tc>
        <w:tc>
          <w:tcPr>
            <w:tcW w:w="2480" w:type="dxa"/>
            <w:vAlign w:val="bottom"/>
          </w:tcPr>
          <w:p>
            <w:pPr>
              <w:ind w:left="60"/>
              <w:spacing w:after="0" w:line="417" w:lineRule="exact"/>
              <w:rPr>
                <w:sz w:val="20"/>
                <w:szCs w:val="20"/>
                <w:color w:val="auto"/>
              </w:rPr>
            </w:pPr>
            <w:r>
              <w:rPr>
                <w:rFonts w:ascii="Cambria Math" w:cs="Cambria Math" w:eastAsia="Cambria Math" w:hAnsi="Cambria Math"/>
                <w:sz w:val="6"/>
                <w:szCs w:val="6"/>
                <w:color w:val="auto"/>
              </w:rPr>
              <w:t>+ (1 −  )</w:t>
            </w:r>
            <w:r>
              <w:rPr>
                <w:rFonts w:ascii="Cambria Math" w:cs="Cambria Math" w:eastAsia="Cambria Math" w:hAnsi="Cambria Math"/>
                <w:sz w:val="9"/>
                <w:szCs w:val="9"/>
                <w:color w:val="auto"/>
                <w:vertAlign w:val="superscript"/>
              </w:rPr>
              <w:t>2   2</w:t>
            </w:r>
          </w:p>
        </w:tc>
        <w:tc>
          <w:tcPr>
            <w:tcW w:w="2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2"/>
        </w:trPr>
        <w:tc>
          <w:tcPr>
            <w:tcW w:w="1600" w:type="dxa"/>
            <w:vAlign w:val="bottom"/>
          </w:tcPr>
          <w:p>
            <w:pPr>
              <w:spacing w:after="0"/>
              <w:rPr>
                <w:sz w:val="6"/>
                <w:szCs w:val="6"/>
                <w:color w:val="auto"/>
              </w:rPr>
            </w:pPr>
          </w:p>
        </w:tc>
        <w:tc>
          <w:tcPr>
            <w:tcW w:w="240" w:type="dxa"/>
            <w:vAlign w:val="bottom"/>
          </w:tcPr>
          <w:p>
            <w:pPr>
              <w:spacing w:after="0"/>
              <w:rPr>
                <w:sz w:val="6"/>
                <w:szCs w:val="6"/>
                <w:color w:val="auto"/>
              </w:rPr>
            </w:pPr>
          </w:p>
        </w:tc>
        <w:tc>
          <w:tcPr>
            <w:tcW w:w="20" w:type="dxa"/>
            <w:vAlign w:val="bottom"/>
          </w:tcPr>
          <w:p>
            <w:pPr>
              <w:spacing w:after="0"/>
              <w:rPr>
                <w:sz w:val="6"/>
                <w:szCs w:val="6"/>
                <w:color w:val="auto"/>
              </w:rPr>
            </w:pPr>
          </w:p>
        </w:tc>
        <w:tc>
          <w:tcPr>
            <w:tcW w:w="80" w:type="dxa"/>
            <w:vAlign w:val="bottom"/>
          </w:tcPr>
          <w:p>
            <w:pPr>
              <w:spacing w:after="0"/>
              <w:rPr>
                <w:sz w:val="6"/>
                <w:szCs w:val="6"/>
                <w:color w:val="auto"/>
              </w:rPr>
            </w:pPr>
          </w:p>
        </w:tc>
        <w:tc>
          <w:tcPr>
            <w:tcW w:w="260" w:type="dxa"/>
            <w:vAlign w:val="bottom"/>
            <w:vMerge w:val="continue"/>
          </w:tcPr>
          <w:p>
            <w:pPr>
              <w:spacing w:after="0"/>
              <w:rPr>
                <w:sz w:val="6"/>
                <w:szCs w:val="6"/>
                <w:color w:val="auto"/>
              </w:rPr>
            </w:pPr>
          </w:p>
        </w:tc>
        <w:tc>
          <w:tcPr>
            <w:tcW w:w="980" w:type="dxa"/>
            <w:vAlign w:val="bottom"/>
          </w:tcPr>
          <w:p>
            <w:pPr>
              <w:jc w:val="right"/>
              <w:ind w:right="65"/>
              <w:spacing w:after="0"/>
              <w:rPr>
                <w:sz w:val="20"/>
                <w:szCs w:val="20"/>
                <w:color w:val="auto"/>
              </w:rPr>
            </w:pPr>
            <w:r>
              <w:rPr>
                <w:rFonts w:ascii="Cambria Math" w:cs="Cambria Math" w:eastAsia="Cambria Math" w:hAnsi="Cambria Math"/>
                <w:sz w:val="1"/>
                <w:szCs w:val="1"/>
                <w:color w:val="auto"/>
              </w:rPr>
              <w:t>̂</w:t>
            </w:r>
          </w:p>
        </w:tc>
        <w:tc>
          <w:tcPr>
            <w:tcW w:w="2480" w:type="dxa"/>
            <w:vAlign w:val="bottom"/>
          </w:tcPr>
          <w:p>
            <w:pPr>
              <w:ind w:left="1980"/>
              <w:spacing w:after="0"/>
              <w:rPr>
                <w:sz w:val="20"/>
                <w:szCs w:val="20"/>
                <w:color w:val="auto"/>
              </w:rPr>
            </w:pPr>
            <w:r>
              <w:rPr>
                <w:rFonts w:ascii="Cambria Math" w:cs="Cambria Math" w:eastAsia="Cambria Math" w:hAnsi="Cambria Math"/>
                <w:sz w:val="1"/>
                <w:szCs w:val="1"/>
                <w:color w:val="auto"/>
              </w:rPr>
              <w:t>̂</w:t>
            </w:r>
          </w:p>
        </w:tc>
        <w:tc>
          <w:tcPr>
            <w:tcW w:w="20" w:type="dxa"/>
            <w:vAlign w:val="bottom"/>
          </w:tcPr>
          <w:p>
            <w:pPr>
              <w:spacing w:after="0"/>
              <w:rPr>
                <w:sz w:val="6"/>
                <w:szCs w:val="6"/>
                <w:color w:val="auto"/>
              </w:rPr>
            </w:pPr>
          </w:p>
        </w:tc>
        <w:tc>
          <w:tcPr>
            <w:tcW w:w="20" w:type="dxa"/>
            <w:vAlign w:val="bottom"/>
          </w:tcPr>
          <w:p>
            <w:pPr>
              <w:spacing w:after="0"/>
              <w:rPr>
                <w:sz w:val="6"/>
                <w:szCs w:val="6"/>
                <w:color w:val="auto"/>
              </w:rPr>
            </w:pPr>
          </w:p>
        </w:tc>
        <w:tc>
          <w:tcPr>
            <w:tcW w:w="34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445"/>
        </w:trPr>
        <w:tc>
          <w:tcPr>
            <w:tcW w:w="16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980" w:type="dxa"/>
            <w:vAlign w:val="bottom"/>
          </w:tcPr>
          <w:p>
            <w:pPr>
              <w:jc w:val="right"/>
              <w:spacing w:after="0" w:line="268" w:lineRule="exact"/>
              <w:rPr>
                <w:sz w:val="20"/>
                <w:szCs w:val="20"/>
                <w:color w:val="auto"/>
              </w:rPr>
            </w:pPr>
            <w:r>
              <w:rPr>
                <w:rFonts w:ascii="Cambria Math" w:cs="Cambria Math" w:eastAsia="Cambria Math" w:hAnsi="Cambria Math"/>
                <w:sz w:val="6"/>
                <w:szCs w:val="6"/>
                <w:color w:val="auto"/>
              </w:rPr>
              <w:t xml:space="preserve">−  </w:t>
            </w:r>
          </w:p>
        </w:tc>
        <w:tc>
          <w:tcPr>
            <w:tcW w:w="2480" w:type="dxa"/>
            <w:vAlign w:val="bottom"/>
          </w:tcPr>
          <w:p>
            <w:pPr>
              <w:ind w:left="1880"/>
              <w:spacing w:after="0" w:line="445" w:lineRule="exact"/>
              <w:rPr>
                <w:sz w:val="20"/>
                <w:szCs w:val="20"/>
                <w:color w:val="auto"/>
              </w:rPr>
            </w:pPr>
            <w:r>
              <w:rPr>
                <w:rFonts w:ascii="Cambria Math" w:cs="Cambria Math" w:eastAsia="Cambria Math" w:hAnsi="Cambria Math"/>
                <w:sz w:val="10"/>
                <w:szCs w:val="10"/>
                <w:color w:val="auto"/>
                <w:vertAlign w:val="subscript"/>
              </w:rPr>
              <w:t>ℎ</w:t>
            </w:r>
            <w:r>
              <w:rPr>
                <w:rFonts w:ascii="Cambria Math" w:cs="Cambria Math" w:eastAsia="Cambria Math" w:hAnsi="Cambria Math"/>
                <w:sz w:val="9"/>
                <w:szCs w:val="9"/>
                <w:color w:val="auto"/>
              </w:rPr>
              <w:t xml:space="preserve">−  </w:t>
            </w:r>
          </w:p>
        </w:tc>
        <w:tc>
          <w:tcPr>
            <w:tcW w:w="2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319"/>
        </w:trPr>
        <w:tc>
          <w:tcPr>
            <w:tcW w:w="5660" w:type="dxa"/>
            <w:vAlign w:val="bottom"/>
            <w:gridSpan w:val="7"/>
          </w:tcPr>
          <w:p>
            <w:pPr>
              <w:spacing w:after="0" w:line="318" w:lineRule="exact"/>
              <w:rPr>
                <w:sz w:val="20"/>
                <w:szCs w:val="20"/>
                <w:color w:val="auto"/>
              </w:rPr>
            </w:pPr>
            <w:r>
              <w:rPr>
                <w:rFonts w:ascii="宋体" w:cs="宋体" w:eastAsia="宋体" w:hAnsi="宋体"/>
                <w:sz w:val="32"/>
                <w:szCs w:val="32"/>
                <w:color w:val="auto"/>
              </w:rPr>
              <w:t>对于相对度量的疗效评价，</w:t>
            </w:r>
          </w:p>
        </w:tc>
        <w:tc>
          <w:tcPr>
            <w:tcW w:w="2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528"/>
        </w:trPr>
        <w:tc>
          <w:tcPr>
            <w:tcW w:w="16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980" w:type="dxa"/>
            <w:vAlign w:val="bottom"/>
          </w:tcPr>
          <w:p>
            <w:pPr>
              <w:jc w:val="right"/>
              <w:ind w:right="205"/>
              <w:spacing w:after="0" w:line="528" w:lineRule="exact"/>
              <w:rPr>
                <w:sz w:val="20"/>
                <w:szCs w:val="20"/>
                <w:color w:val="auto"/>
              </w:rPr>
            </w:pPr>
            <w:r>
              <w:rPr>
                <w:rFonts w:ascii="Cambria Math" w:cs="Cambria Math" w:eastAsia="Cambria Math" w:hAnsi="Cambria Math"/>
                <w:sz w:val="12"/>
                <w:szCs w:val="12"/>
                <w:color w:val="auto"/>
              </w:rPr>
              <w:t>̂</w:t>
            </w:r>
          </w:p>
        </w:tc>
        <w:tc>
          <w:tcPr>
            <w:tcW w:w="2480" w:type="dxa"/>
            <w:vAlign w:val="bottom"/>
          </w:tcPr>
          <w:p>
            <w:pPr>
              <w:ind w:left="1880"/>
              <w:spacing w:after="0" w:line="528" w:lineRule="exact"/>
              <w:rPr>
                <w:sz w:val="20"/>
                <w:szCs w:val="20"/>
                <w:color w:val="auto"/>
              </w:rPr>
            </w:pPr>
            <w:r>
              <w:rPr>
                <w:rFonts w:ascii="Cambria Math" w:cs="Cambria Math" w:eastAsia="Cambria Math" w:hAnsi="Cambria Math"/>
                <w:sz w:val="12"/>
                <w:szCs w:val="12"/>
                <w:color w:val="auto"/>
              </w:rPr>
              <w:t>̂</w:t>
            </w:r>
          </w:p>
        </w:tc>
        <w:tc>
          <w:tcPr>
            <w:tcW w:w="2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16"/>
        </w:trPr>
        <w:tc>
          <w:tcPr>
            <w:tcW w:w="1600" w:type="dxa"/>
            <w:vAlign w:val="bottom"/>
            <w:vMerge w:val="restart"/>
          </w:tcPr>
          <w:p>
            <w:pPr>
              <w:ind w:left="980"/>
              <w:spacing w:after="0" w:line="302" w:lineRule="exact"/>
              <w:rPr>
                <w:sz w:val="20"/>
                <w:szCs w:val="20"/>
                <w:color w:val="auto"/>
              </w:rPr>
            </w:pPr>
            <w:r>
              <w:rPr>
                <w:rFonts w:ascii="Cambria Math" w:cs="Cambria Math" w:eastAsia="Cambria Math" w:hAnsi="Cambria Math"/>
                <w:sz w:val="7"/>
                <w:szCs w:val="7"/>
                <w:color w:val="auto"/>
              </w:rPr>
              <w:t>=</w:t>
            </w:r>
          </w:p>
        </w:tc>
        <w:tc>
          <w:tcPr>
            <w:tcW w:w="240" w:type="dxa"/>
            <w:vAlign w:val="bottom"/>
            <w:tcBorders>
              <w:bottom w:val="single" w:sz="8" w:color="auto"/>
            </w:tcBorders>
          </w:tcPr>
          <w:p>
            <w:pPr>
              <w:spacing w:after="0"/>
              <w:rPr>
                <w:sz w:val="18"/>
                <w:szCs w:val="18"/>
                <w:color w:val="auto"/>
              </w:rPr>
            </w:pPr>
          </w:p>
        </w:tc>
        <w:tc>
          <w:tcPr>
            <w:tcW w:w="20" w:type="dxa"/>
            <w:vAlign w:val="bottom"/>
            <w:tcBorders>
              <w:bottom w:val="single" w:sz="8" w:color="auto"/>
            </w:tcBorders>
          </w:tcPr>
          <w:p>
            <w:pPr>
              <w:spacing w:after="0"/>
              <w:rPr>
                <w:sz w:val="18"/>
                <w:szCs w:val="18"/>
                <w:color w:val="auto"/>
              </w:rPr>
            </w:pPr>
          </w:p>
        </w:tc>
        <w:tc>
          <w:tcPr>
            <w:tcW w:w="1320" w:type="dxa"/>
            <w:vAlign w:val="bottom"/>
            <w:tcBorders>
              <w:bottom w:val="single" w:sz="8" w:color="auto"/>
            </w:tcBorders>
            <w:gridSpan w:val="3"/>
          </w:tcPr>
          <w:p>
            <w:pPr>
              <w:jc w:val="right"/>
              <w:ind w:right="25"/>
              <w:spacing w:after="0" w:line="216" w:lineRule="exact"/>
              <w:rPr>
                <w:sz w:val="20"/>
                <w:szCs w:val="20"/>
                <w:color w:val="auto"/>
              </w:rPr>
            </w:pPr>
            <w:r>
              <w:rPr>
                <w:rFonts w:ascii="Cambria Math" w:cs="Cambria Math" w:eastAsia="Cambria Math" w:hAnsi="Cambria Math"/>
                <w:sz w:val="5"/>
                <w:szCs w:val="5"/>
                <w:color w:val="auto"/>
              </w:rPr>
              <w:t>( /   )</w:t>
            </w:r>
          </w:p>
        </w:tc>
        <w:tc>
          <w:tcPr>
            <w:tcW w:w="2860" w:type="dxa"/>
            <w:vAlign w:val="bottom"/>
            <w:tcBorders>
              <w:bottom w:val="single" w:sz="8" w:color="auto"/>
            </w:tcBorders>
            <w:gridSpan w:val="4"/>
          </w:tcPr>
          <w:p>
            <w:pPr>
              <w:ind w:left="20"/>
              <w:spacing w:after="0" w:line="216" w:lineRule="exact"/>
              <w:rPr>
                <w:sz w:val="20"/>
                <w:szCs w:val="20"/>
                <w:color w:val="auto"/>
              </w:rPr>
            </w:pPr>
            <w:r>
              <w:rPr>
                <w:rFonts w:ascii="Cambria Math" w:cs="Cambria Math" w:eastAsia="Cambria Math" w:hAnsi="Cambria Math"/>
                <w:sz w:val="3"/>
                <w:szCs w:val="3"/>
                <w:color w:val="auto"/>
              </w:rPr>
              <w:t xml:space="preserve">+ (1 −  )    (  </w:t>
            </w:r>
            <w:r>
              <w:rPr>
                <w:rFonts w:ascii="Cambria Math" w:cs="Cambria Math" w:eastAsia="Cambria Math" w:hAnsi="Cambria Math"/>
                <w:sz w:val="5"/>
                <w:szCs w:val="5"/>
                <w:color w:val="auto"/>
                <w:vertAlign w:val="subscript"/>
              </w:rPr>
              <w:t>ℎ</w:t>
            </w:r>
            <w:r>
              <w:rPr>
                <w:rFonts w:ascii="Cambria Math" w:cs="Cambria Math" w:eastAsia="Cambria Math" w:hAnsi="Cambria Math"/>
                <w:sz w:val="3"/>
                <w:szCs w:val="3"/>
                <w:color w:val="auto"/>
              </w:rPr>
              <w:t>/  )</w:t>
            </w:r>
          </w:p>
        </w:tc>
        <w:tc>
          <w:tcPr>
            <w:tcW w:w="0" w:type="dxa"/>
            <w:vAlign w:val="bottom"/>
          </w:tcPr>
          <w:p>
            <w:pPr>
              <w:spacing w:after="0"/>
              <w:rPr>
                <w:sz w:val="1"/>
                <w:szCs w:val="1"/>
                <w:color w:val="auto"/>
              </w:rPr>
            </w:pPr>
          </w:p>
        </w:tc>
      </w:tr>
      <w:tr>
        <w:trPr>
          <w:trHeight w:val="66"/>
        </w:trPr>
        <w:tc>
          <w:tcPr>
            <w:tcW w:w="1600" w:type="dxa"/>
            <w:vAlign w:val="bottom"/>
            <w:vMerge w:val="continue"/>
          </w:tcPr>
          <w:p>
            <w:pPr>
              <w:spacing w:after="0"/>
              <w:rPr>
                <w:sz w:val="5"/>
                <w:szCs w:val="5"/>
                <w:color w:val="auto"/>
              </w:rPr>
            </w:pPr>
          </w:p>
        </w:tc>
        <w:tc>
          <w:tcPr>
            <w:tcW w:w="240" w:type="dxa"/>
            <w:vAlign w:val="bottom"/>
          </w:tcPr>
          <w:p>
            <w:pPr>
              <w:spacing w:after="0"/>
              <w:rPr>
                <w:sz w:val="5"/>
                <w:szCs w:val="5"/>
                <w:color w:val="auto"/>
              </w:rPr>
            </w:pPr>
          </w:p>
        </w:tc>
        <w:tc>
          <w:tcPr>
            <w:tcW w:w="20" w:type="dxa"/>
            <w:vAlign w:val="bottom"/>
            <w:tcBorders>
              <w:bottom w:val="single" w:sz="8" w:color="auto"/>
            </w:tcBorders>
          </w:tcPr>
          <w:p>
            <w:pPr>
              <w:spacing w:after="0"/>
              <w:rPr>
                <w:sz w:val="5"/>
                <w:szCs w:val="5"/>
                <w:color w:val="auto"/>
              </w:rPr>
            </w:pPr>
          </w:p>
        </w:tc>
        <w:tc>
          <w:tcPr>
            <w:tcW w:w="80" w:type="dxa"/>
            <w:vAlign w:val="bottom"/>
            <w:tcBorders>
              <w:bottom w:val="single" w:sz="8" w:color="auto"/>
            </w:tcBorders>
          </w:tcPr>
          <w:p>
            <w:pPr>
              <w:spacing w:after="0"/>
              <w:rPr>
                <w:sz w:val="5"/>
                <w:szCs w:val="5"/>
                <w:color w:val="auto"/>
              </w:rPr>
            </w:pPr>
          </w:p>
        </w:tc>
        <w:tc>
          <w:tcPr>
            <w:tcW w:w="260" w:type="dxa"/>
            <w:vAlign w:val="bottom"/>
            <w:tcBorders>
              <w:bottom w:val="single" w:sz="8" w:color="auto"/>
            </w:tcBorders>
          </w:tcPr>
          <w:p>
            <w:pPr>
              <w:spacing w:after="0"/>
              <w:rPr>
                <w:sz w:val="5"/>
                <w:szCs w:val="5"/>
                <w:color w:val="auto"/>
              </w:rPr>
            </w:pPr>
          </w:p>
        </w:tc>
        <w:tc>
          <w:tcPr>
            <w:tcW w:w="980" w:type="dxa"/>
            <w:vAlign w:val="bottom"/>
            <w:tcBorders>
              <w:bottom w:val="single" w:sz="8" w:color="auto"/>
            </w:tcBorders>
          </w:tcPr>
          <w:p>
            <w:pPr>
              <w:spacing w:after="0"/>
              <w:rPr>
                <w:sz w:val="5"/>
                <w:szCs w:val="5"/>
                <w:color w:val="auto"/>
              </w:rPr>
            </w:pPr>
          </w:p>
        </w:tc>
        <w:tc>
          <w:tcPr>
            <w:tcW w:w="2480" w:type="dxa"/>
            <w:vAlign w:val="bottom"/>
            <w:tcBorders>
              <w:bottom w:val="single" w:sz="8" w:color="auto"/>
            </w:tcBorders>
          </w:tcPr>
          <w:p>
            <w:pPr>
              <w:spacing w:after="0"/>
              <w:rPr>
                <w:sz w:val="5"/>
                <w:szCs w:val="5"/>
                <w:color w:val="auto"/>
              </w:rPr>
            </w:pPr>
          </w:p>
        </w:tc>
        <w:tc>
          <w:tcPr>
            <w:tcW w:w="20" w:type="dxa"/>
            <w:vAlign w:val="bottom"/>
            <w:tcBorders>
              <w:bottom w:val="single" w:sz="8" w:color="auto"/>
            </w:tcBorders>
          </w:tcPr>
          <w:p>
            <w:pPr>
              <w:spacing w:after="0"/>
              <w:rPr>
                <w:sz w:val="5"/>
                <w:szCs w:val="5"/>
                <w:color w:val="auto"/>
              </w:rPr>
            </w:pPr>
          </w:p>
        </w:tc>
        <w:tc>
          <w:tcPr>
            <w:tcW w:w="20" w:type="dxa"/>
            <w:vAlign w:val="bottom"/>
            <w:tcBorders>
              <w:bottom w:val="single" w:sz="8" w:color="auto"/>
            </w:tcBorders>
          </w:tcPr>
          <w:p>
            <w:pPr>
              <w:spacing w:after="0"/>
              <w:rPr>
                <w:sz w:val="5"/>
                <w:szCs w:val="5"/>
                <w:color w:val="auto"/>
              </w:rPr>
            </w:pPr>
          </w:p>
        </w:tc>
        <w:tc>
          <w:tcPr>
            <w:tcW w:w="34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402"/>
        </w:trPr>
        <w:tc>
          <w:tcPr>
            <w:tcW w:w="1600" w:type="dxa"/>
            <w:vAlign w:val="bottom"/>
          </w:tcPr>
          <w:p>
            <w:pPr>
              <w:spacing w:after="0"/>
              <w:rPr>
                <w:sz w:val="24"/>
                <w:szCs w:val="24"/>
                <w:color w:val="auto"/>
              </w:rPr>
            </w:pPr>
          </w:p>
        </w:tc>
        <w:tc>
          <w:tcPr>
            <w:tcW w:w="240" w:type="dxa"/>
            <w:vAlign w:val="bottom"/>
            <w:vMerge w:val="restart"/>
          </w:tcPr>
          <w:p>
            <w:pPr>
              <w:spacing w:after="0" w:line="474" w:lineRule="exact"/>
              <w:rPr>
                <w:sz w:val="20"/>
                <w:szCs w:val="20"/>
                <w:color w:val="auto"/>
              </w:rPr>
            </w:pPr>
            <w:r>
              <w:rPr>
                <w:rFonts w:ascii="Cambria Math" w:cs="Cambria Math" w:eastAsia="Cambria Math" w:hAnsi="Cambria Math"/>
                <w:sz w:val="11"/>
                <w:szCs w:val="11"/>
                <w:color w:val="auto"/>
              </w:rPr>
              <w:t>√</w:t>
            </w:r>
          </w:p>
        </w:tc>
        <w:tc>
          <w:tcPr>
            <w:tcW w:w="360" w:type="dxa"/>
            <w:vAlign w:val="bottom"/>
            <w:gridSpan w:val="3"/>
          </w:tcPr>
          <w:p>
            <w:pPr>
              <w:spacing w:after="0"/>
              <w:rPr>
                <w:sz w:val="24"/>
                <w:szCs w:val="24"/>
                <w:color w:val="auto"/>
              </w:rPr>
            </w:pPr>
          </w:p>
        </w:tc>
        <w:tc>
          <w:tcPr>
            <w:tcW w:w="980" w:type="dxa"/>
            <w:vAlign w:val="bottom"/>
          </w:tcPr>
          <w:p>
            <w:pPr>
              <w:ind w:left="20"/>
              <w:spacing w:after="0" w:line="323" w:lineRule="exact"/>
              <w:rPr>
                <w:sz w:val="20"/>
                <w:szCs w:val="20"/>
                <w:color w:val="auto"/>
              </w:rPr>
            </w:pPr>
            <w:r>
              <w:rPr>
                <w:rFonts w:ascii="Cambria Math" w:cs="Cambria Math" w:eastAsia="Cambria Math" w:hAnsi="Cambria Math"/>
                <w:sz w:val="7"/>
                <w:szCs w:val="7"/>
                <w:color w:val="auto"/>
              </w:rPr>
              <w:t>2</w:t>
            </w:r>
          </w:p>
        </w:tc>
        <w:tc>
          <w:tcPr>
            <w:tcW w:w="2480" w:type="dxa"/>
            <w:vAlign w:val="bottom"/>
          </w:tcPr>
          <w:p>
            <w:pPr>
              <w:ind w:left="60"/>
              <w:spacing w:after="0" w:line="402" w:lineRule="exact"/>
              <w:rPr>
                <w:sz w:val="20"/>
                <w:szCs w:val="20"/>
                <w:color w:val="auto"/>
              </w:rPr>
            </w:pPr>
            <w:r>
              <w:rPr>
                <w:rFonts w:ascii="Cambria Math" w:cs="Cambria Math" w:eastAsia="Cambria Math" w:hAnsi="Cambria Math"/>
                <w:sz w:val="6"/>
                <w:szCs w:val="6"/>
                <w:color w:val="auto"/>
              </w:rPr>
              <w:t>+ (1 −  )</w:t>
            </w:r>
            <w:r>
              <w:rPr>
                <w:rFonts w:ascii="Cambria Math" w:cs="Cambria Math" w:eastAsia="Cambria Math" w:hAnsi="Cambria Math"/>
                <w:sz w:val="9"/>
                <w:szCs w:val="9"/>
                <w:color w:val="auto"/>
                <w:vertAlign w:val="superscript"/>
              </w:rPr>
              <w:t>2   2</w:t>
            </w:r>
          </w:p>
        </w:tc>
        <w:tc>
          <w:tcPr>
            <w:tcW w:w="2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72"/>
        </w:trPr>
        <w:tc>
          <w:tcPr>
            <w:tcW w:w="1600" w:type="dxa"/>
            <w:vAlign w:val="bottom"/>
          </w:tcPr>
          <w:p>
            <w:pPr>
              <w:spacing w:after="0"/>
              <w:rPr>
                <w:sz w:val="6"/>
                <w:szCs w:val="6"/>
                <w:color w:val="auto"/>
              </w:rPr>
            </w:pPr>
          </w:p>
        </w:tc>
        <w:tc>
          <w:tcPr>
            <w:tcW w:w="240" w:type="dxa"/>
            <w:vAlign w:val="bottom"/>
            <w:vMerge w:val="continue"/>
          </w:tcPr>
          <w:p>
            <w:pPr>
              <w:spacing w:after="0"/>
              <w:rPr>
                <w:sz w:val="6"/>
                <w:szCs w:val="6"/>
                <w:color w:val="auto"/>
              </w:rPr>
            </w:pPr>
          </w:p>
        </w:tc>
        <w:tc>
          <w:tcPr>
            <w:tcW w:w="20" w:type="dxa"/>
            <w:vAlign w:val="bottom"/>
          </w:tcPr>
          <w:p>
            <w:pPr>
              <w:spacing w:after="0"/>
              <w:rPr>
                <w:sz w:val="6"/>
                <w:szCs w:val="6"/>
                <w:color w:val="auto"/>
              </w:rPr>
            </w:pPr>
          </w:p>
        </w:tc>
        <w:tc>
          <w:tcPr>
            <w:tcW w:w="80" w:type="dxa"/>
            <w:vAlign w:val="bottom"/>
          </w:tcPr>
          <w:p>
            <w:pPr>
              <w:spacing w:after="0"/>
              <w:rPr>
                <w:sz w:val="6"/>
                <w:szCs w:val="6"/>
                <w:color w:val="auto"/>
              </w:rPr>
            </w:pPr>
          </w:p>
        </w:tc>
        <w:tc>
          <w:tcPr>
            <w:tcW w:w="260" w:type="dxa"/>
            <w:vAlign w:val="bottom"/>
          </w:tcPr>
          <w:p>
            <w:pPr>
              <w:spacing w:after="0"/>
              <w:rPr>
                <w:sz w:val="6"/>
                <w:szCs w:val="6"/>
                <w:color w:val="auto"/>
              </w:rPr>
            </w:pPr>
          </w:p>
        </w:tc>
        <w:tc>
          <w:tcPr>
            <w:tcW w:w="980" w:type="dxa"/>
            <w:vAlign w:val="bottom"/>
          </w:tcPr>
          <w:p>
            <w:pPr>
              <w:jc w:val="right"/>
              <w:ind w:right="145"/>
              <w:spacing w:after="0"/>
              <w:rPr>
                <w:sz w:val="20"/>
                <w:szCs w:val="20"/>
                <w:color w:val="auto"/>
              </w:rPr>
            </w:pPr>
            <w:r>
              <w:rPr>
                <w:rFonts w:ascii="Cambria Math" w:cs="Cambria Math" w:eastAsia="Cambria Math" w:hAnsi="Cambria Math"/>
                <w:sz w:val="1"/>
                <w:szCs w:val="1"/>
                <w:color w:val="auto"/>
              </w:rPr>
              <w:t>̂</w:t>
            </w:r>
          </w:p>
        </w:tc>
        <w:tc>
          <w:tcPr>
            <w:tcW w:w="2860" w:type="dxa"/>
            <w:vAlign w:val="bottom"/>
            <w:gridSpan w:val="4"/>
          </w:tcPr>
          <w:p>
            <w:pPr>
              <w:ind w:left="2320"/>
              <w:spacing w:after="0"/>
              <w:rPr>
                <w:sz w:val="20"/>
                <w:szCs w:val="20"/>
                <w:color w:val="auto"/>
              </w:rPr>
            </w:pPr>
            <w:r>
              <w:rPr>
                <w:rFonts w:ascii="Cambria Math" w:cs="Cambria Math" w:eastAsia="Cambria Math" w:hAnsi="Cambria Math"/>
                <w:sz w:val="1"/>
                <w:szCs w:val="1"/>
                <w:color w:val="auto"/>
              </w:rPr>
              <w:t>̂</w:t>
            </w:r>
          </w:p>
        </w:tc>
        <w:tc>
          <w:tcPr>
            <w:tcW w:w="0" w:type="dxa"/>
            <w:vAlign w:val="bottom"/>
          </w:tcPr>
          <w:p>
            <w:pPr>
              <w:spacing w:after="0"/>
              <w:rPr>
                <w:sz w:val="1"/>
                <w:szCs w:val="1"/>
                <w:color w:val="auto"/>
              </w:rPr>
            </w:pPr>
          </w:p>
        </w:tc>
      </w:tr>
      <w:tr>
        <w:trPr>
          <w:trHeight w:val="457"/>
        </w:trPr>
        <w:tc>
          <w:tcPr>
            <w:tcW w:w="16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1240" w:type="dxa"/>
            <w:vAlign w:val="bottom"/>
            <w:gridSpan w:val="2"/>
          </w:tcPr>
          <w:p>
            <w:pPr>
              <w:jc w:val="right"/>
              <w:spacing w:after="0" w:line="278" w:lineRule="exact"/>
              <w:rPr>
                <w:sz w:val="20"/>
                <w:szCs w:val="20"/>
                <w:color w:val="auto"/>
              </w:rPr>
            </w:pPr>
            <w:r>
              <w:rPr>
                <w:rFonts w:ascii="Cambria Math" w:cs="Cambria Math" w:eastAsia="Cambria Math" w:hAnsi="Cambria Math"/>
                <w:sz w:val="6"/>
                <w:szCs w:val="6"/>
                <w:color w:val="auto"/>
              </w:rPr>
              <w:t xml:space="preserve">    (  /   )</w:t>
            </w:r>
          </w:p>
        </w:tc>
        <w:tc>
          <w:tcPr>
            <w:tcW w:w="2480" w:type="dxa"/>
            <w:vAlign w:val="bottom"/>
          </w:tcPr>
          <w:p>
            <w:pPr>
              <w:ind w:left="1880"/>
              <w:spacing w:after="0" w:line="456" w:lineRule="exact"/>
              <w:rPr>
                <w:sz w:val="20"/>
                <w:szCs w:val="20"/>
                <w:color w:val="auto"/>
              </w:rPr>
            </w:pPr>
            <w:r>
              <w:rPr>
                <w:rFonts w:ascii="Cambria Math" w:cs="Cambria Math" w:eastAsia="Cambria Math" w:hAnsi="Cambria Math"/>
                <w:sz w:val="9"/>
                <w:szCs w:val="9"/>
                <w:color w:val="auto"/>
              </w:rPr>
              <w:t xml:space="preserve">    (  </w:t>
            </w:r>
            <w:r>
              <w:rPr>
                <w:rFonts w:ascii="Cambria Math" w:cs="Cambria Math" w:eastAsia="Cambria Math" w:hAnsi="Cambria Math"/>
                <w:sz w:val="10"/>
                <w:szCs w:val="10"/>
                <w:color w:val="auto"/>
                <w:vertAlign w:val="subscript"/>
              </w:rPr>
              <w:t>ℎ</w:t>
            </w:r>
          </w:p>
        </w:tc>
        <w:tc>
          <w:tcPr>
            <w:tcW w:w="380" w:type="dxa"/>
            <w:vAlign w:val="bottom"/>
            <w:gridSpan w:val="3"/>
          </w:tcPr>
          <w:p>
            <w:pPr>
              <w:spacing w:after="0" w:line="268" w:lineRule="exact"/>
              <w:rPr>
                <w:sz w:val="20"/>
                <w:szCs w:val="20"/>
                <w:color w:val="auto"/>
              </w:rPr>
            </w:pPr>
            <w:r>
              <w:rPr>
                <w:rFonts w:ascii="Cambria Math" w:cs="Cambria Math" w:eastAsia="Cambria Math" w:hAnsi="Cambria Math"/>
                <w:sz w:val="6"/>
                <w:szCs w:val="6"/>
                <w:color w:val="auto"/>
              </w:rPr>
              <w:t>/  )</w:t>
            </w:r>
          </w:p>
        </w:tc>
        <w:tc>
          <w:tcPr>
            <w:tcW w:w="0" w:type="dxa"/>
            <w:vAlign w:val="bottom"/>
          </w:tcPr>
          <w:p>
            <w:pPr>
              <w:spacing w:after="0"/>
              <w:rPr>
                <w:sz w:val="1"/>
                <w:szCs w:val="1"/>
                <w:color w:val="auto"/>
              </w:rPr>
            </w:pPr>
          </w:p>
        </w:tc>
      </w:tr>
    </w:tbl>
    <w:p>
      <w:pPr>
        <w:jc w:val="both"/>
        <w:ind w:left="360" w:right="344" w:firstLine="638"/>
        <w:spacing w:after="0" w:line="584" w:lineRule="exact"/>
        <w:rPr>
          <w:sz w:val="20"/>
          <w:szCs w:val="20"/>
          <w:color w:val="auto"/>
        </w:rPr>
      </w:pPr>
      <w:r>
        <w:rPr>
          <w:rFonts w:ascii="宋体" w:cs="宋体" w:eastAsia="宋体" w:hAnsi="宋体"/>
          <w:sz w:val="31"/>
          <w:szCs w:val="31"/>
          <w:color w:val="auto"/>
        </w:rPr>
        <w:t>公式中，</w:t>
      </w:r>
      <w:r>
        <w:rPr>
          <w:rFonts w:ascii="Times New Roman" w:cs="Times New Roman" w:eastAsia="Times New Roman" w:hAnsi="Times New Roman"/>
          <w:sz w:val="31"/>
          <w:szCs w:val="31"/>
          <w:i w:val="1"/>
          <w:iCs w:val="1"/>
          <w:color w:val="auto"/>
        </w:rPr>
        <w:t>C</w:t>
      </w:r>
      <w:r>
        <w:rPr>
          <w:rFonts w:ascii="Times New Roman" w:cs="Times New Roman" w:eastAsia="Times New Roman" w:hAnsi="Times New Roman"/>
          <w:sz w:val="20"/>
          <w:szCs w:val="20"/>
          <w:i w:val="1"/>
          <w:iCs w:val="1"/>
          <w:color w:val="auto"/>
        </w:rPr>
        <w:t>h</w:t>
      </w:r>
      <w:r>
        <w:rPr>
          <w:rFonts w:ascii="Times New Roman" w:cs="Times New Roman" w:eastAsia="Times New Roman" w:hAnsi="Times New Roman"/>
          <w:sz w:val="31"/>
          <w:szCs w:val="31"/>
          <w:i w:val="1"/>
          <w:iCs w:val="1"/>
          <w:color w:val="auto"/>
        </w:rPr>
        <w:t xml:space="preserve"> </w:t>
      </w:r>
      <w:r>
        <w:rPr>
          <w:rFonts w:ascii="宋体" w:cs="宋体" w:eastAsia="宋体" w:hAnsi="宋体"/>
          <w:sz w:val="31"/>
          <w:szCs w:val="31"/>
          <w:color w:val="auto"/>
        </w:rPr>
        <w:t>和</w:t>
      </w:r>
      <w:r>
        <w:rPr>
          <w:rFonts w:ascii="Times New Roman" w:cs="Times New Roman" w:eastAsia="Times New Roman" w:hAnsi="Times New Roman"/>
          <w:sz w:val="31"/>
          <w:szCs w:val="31"/>
          <w:i w:val="1"/>
          <w:iCs w:val="1"/>
          <w:color w:val="auto"/>
        </w:rPr>
        <w:t xml:space="preserve"> P </w:t>
      </w:r>
      <w:r>
        <w:rPr>
          <w:rFonts w:ascii="宋体" w:cs="宋体" w:eastAsia="宋体" w:hAnsi="宋体"/>
          <w:sz w:val="31"/>
          <w:szCs w:val="31"/>
          <w:color w:val="auto"/>
        </w:rPr>
        <w:t>分别为既往优效试验中阳性对照药和安慰剂的效应；</w:t>
      </w:r>
      <w:r>
        <w:rPr>
          <w:rFonts w:ascii="Times New Roman" w:cs="Times New Roman" w:eastAsia="Times New Roman" w:hAnsi="Times New Roman"/>
          <w:sz w:val="31"/>
          <w:szCs w:val="31"/>
          <w:i w:val="1"/>
          <w:iCs w:val="1"/>
          <w:color w:val="auto"/>
        </w:rPr>
        <w:t xml:space="preserve">T </w:t>
      </w:r>
      <w:r>
        <w:rPr>
          <w:rFonts w:ascii="宋体" w:cs="宋体" w:eastAsia="宋体" w:hAnsi="宋体"/>
          <w:sz w:val="31"/>
          <w:szCs w:val="31"/>
          <w:color w:val="auto"/>
        </w:rPr>
        <w:t>和</w:t>
      </w:r>
      <w:r>
        <w:rPr>
          <w:rFonts w:ascii="Times New Roman" w:cs="Times New Roman" w:eastAsia="Times New Roman" w:hAnsi="Times New Roman"/>
          <w:sz w:val="31"/>
          <w:szCs w:val="31"/>
          <w:i w:val="1"/>
          <w:iCs w:val="1"/>
          <w:color w:val="auto"/>
        </w:rPr>
        <w:t xml:space="preserve"> C</w:t>
      </w:r>
      <w:r>
        <w:rPr>
          <w:rFonts w:ascii="Times New Roman" w:cs="Times New Roman" w:eastAsia="Times New Roman" w:hAnsi="Times New Roman"/>
          <w:sz w:val="20"/>
          <w:szCs w:val="20"/>
          <w:i w:val="1"/>
          <w:iCs w:val="1"/>
          <w:color w:val="auto"/>
        </w:rPr>
        <w:t>n</w:t>
      </w:r>
      <w:r>
        <w:rPr>
          <w:rFonts w:ascii="Times New Roman" w:cs="Times New Roman" w:eastAsia="Times New Roman" w:hAnsi="Times New Roman"/>
          <w:sz w:val="31"/>
          <w:szCs w:val="31"/>
          <w:i w:val="1"/>
          <w:iCs w:val="1"/>
          <w:color w:val="auto"/>
        </w:rPr>
        <w:t xml:space="preserve"> </w:t>
      </w:r>
      <w:r>
        <w:rPr>
          <w:rFonts w:ascii="宋体" w:cs="宋体" w:eastAsia="宋体" w:hAnsi="宋体"/>
          <w:sz w:val="31"/>
          <w:szCs w:val="31"/>
          <w:color w:val="auto"/>
        </w:rPr>
        <w:t>分别是当前非劣效试验中试验药和阳性对照药的效应；</w:t>
      </w:r>
      <w:r>
        <w:rPr>
          <w:rFonts w:ascii="Times New Roman" w:cs="Times New Roman" w:eastAsia="Times New Roman" w:hAnsi="Times New Roman"/>
          <w:sz w:val="31"/>
          <w:szCs w:val="31"/>
          <w:i w:val="1"/>
          <w:iCs w:val="1"/>
          <w:color w:val="auto"/>
        </w:rPr>
        <w:t xml:space="preserve">f </w:t>
      </w:r>
      <w:r>
        <w:rPr>
          <w:rFonts w:ascii="宋体" w:cs="宋体" w:eastAsia="宋体" w:hAnsi="宋体"/>
          <w:sz w:val="31"/>
          <w:szCs w:val="31"/>
          <w:color w:val="auto"/>
        </w:rPr>
        <w:t>为根据预先确定的</w:t>
      </w:r>
      <w:r>
        <w:rPr>
          <w:rFonts w:ascii="Times New Roman" w:cs="Times New Roman" w:eastAsia="Times New Roman" w:hAnsi="Times New Roman"/>
          <w:sz w:val="31"/>
          <w:szCs w:val="31"/>
          <w:i w:val="1"/>
          <w:iCs w:val="1"/>
          <w:color w:val="auto"/>
        </w:rPr>
        <w:t xml:space="preserve"> C</w:t>
      </w:r>
      <w:r>
        <w:rPr>
          <w:rFonts w:ascii="Times New Roman" w:cs="Times New Roman" w:eastAsia="Times New Roman" w:hAnsi="Times New Roman"/>
          <w:sz w:val="20"/>
          <w:szCs w:val="20"/>
          <w:i w:val="1"/>
          <w:iCs w:val="1"/>
          <w:color w:val="auto"/>
        </w:rPr>
        <w:t>h</w:t>
      </w:r>
      <w:r>
        <w:rPr>
          <w:rFonts w:ascii="Times New Roman" w:cs="Times New Roman" w:eastAsia="Times New Roman" w:hAnsi="Times New Roman"/>
          <w:sz w:val="31"/>
          <w:szCs w:val="31"/>
          <w:i w:val="1"/>
          <w:iCs w:val="1"/>
          <w:color w:val="auto"/>
        </w:rPr>
        <w:t xml:space="preserve"> </w:t>
      </w:r>
      <w:r>
        <w:rPr>
          <w:rFonts w:ascii="宋体" w:cs="宋体" w:eastAsia="宋体" w:hAnsi="宋体"/>
          <w:sz w:val="31"/>
          <w:szCs w:val="31"/>
          <w:color w:val="auto"/>
        </w:rPr>
        <w:t>相对于</w:t>
      </w:r>
      <w:r>
        <w:rPr>
          <w:rFonts w:ascii="Times New Roman" w:cs="Times New Roman" w:eastAsia="Times New Roman" w:hAnsi="Times New Roman"/>
          <w:sz w:val="31"/>
          <w:szCs w:val="31"/>
          <w:i w:val="1"/>
          <w:iCs w:val="1"/>
          <w:color w:val="auto"/>
        </w:rPr>
        <w:t xml:space="preserve"> P </w:t>
      </w:r>
      <w:r>
        <w:rPr>
          <w:rFonts w:ascii="宋体" w:cs="宋体" w:eastAsia="宋体" w:hAnsi="宋体"/>
          <w:sz w:val="31"/>
          <w:szCs w:val="31"/>
          <w:color w:val="auto"/>
        </w:rPr>
        <w:t>的疗效差异的所保留的比例；</w:t>
      </w:r>
      <w:r>
        <w:rPr>
          <w:rFonts w:ascii="Times New Roman" w:cs="Times New Roman" w:eastAsia="Times New Roman" w:hAnsi="Times New Roman"/>
          <w:sz w:val="31"/>
          <w:szCs w:val="31"/>
          <w:i w:val="1"/>
          <w:iCs w:val="1"/>
          <w:color w:val="auto"/>
        </w:rPr>
        <w:t xml:space="preserve">SE </w:t>
      </w:r>
      <w:r>
        <w:rPr>
          <w:rFonts w:ascii="宋体" w:cs="宋体" w:eastAsia="宋体" w:hAnsi="宋体"/>
          <w:sz w:val="31"/>
          <w:szCs w:val="31"/>
          <w:color w:val="auto"/>
        </w:rPr>
        <w:t>为标准误，既往优效试验的</w:t>
      </w:r>
      <w:r>
        <w:rPr>
          <w:rFonts w:ascii="Times New Roman" w:cs="Times New Roman" w:eastAsia="Times New Roman" w:hAnsi="Times New Roman"/>
          <w:sz w:val="31"/>
          <w:szCs w:val="31"/>
          <w:i w:val="1"/>
          <w:iCs w:val="1"/>
          <w:color w:val="auto"/>
        </w:rPr>
        <w:t xml:space="preserve"> SE </w:t>
      </w:r>
      <w:r>
        <w:rPr>
          <w:rFonts w:ascii="宋体" w:cs="宋体" w:eastAsia="宋体" w:hAnsi="宋体"/>
          <w:sz w:val="31"/>
          <w:szCs w:val="31"/>
          <w:color w:val="auto"/>
        </w:rPr>
        <w:t>需要根据阳性对照药相对于安慰剂的疗效差异的</w:t>
      </w:r>
      <w:r>
        <w:rPr>
          <w:rFonts w:ascii="Times New Roman" w:cs="Times New Roman" w:eastAsia="Times New Roman" w:hAnsi="Times New Roman"/>
          <w:sz w:val="31"/>
          <w:szCs w:val="31"/>
          <w:color w:val="auto"/>
        </w:rPr>
        <w:t xml:space="preserve"> meta </w:t>
      </w:r>
      <w:r>
        <w:rPr>
          <w:rFonts w:ascii="宋体" w:cs="宋体" w:eastAsia="宋体" w:hAnsi="宋体"/>
          <w:sz w:val="31"/>
          <w:szCs w:val="31"/>
          <w:color w:val="auto"/>
        </w:rPr>
        <w:t>分析进行估计。此处相对度量以简单比值（如相对风险）示例。某些相对度量值（如通过等比例风险模型估计的风险比）在大多数情况下并不能表示为简单比值，但可同理推导。</w:t>
      </w: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7" w:lineRule="exact"/>
        <w:rPr>
          <w:sz w:val="20"/>
          <w:szCs w:val="20"/>
          <w:color w:val="auto"/>
        </w:rPr>
      </w:pPr>
    </w:p>
    <w:p>
      <w:pPr>
        <w:jc w:val="center"/>
        <w:ind w:right="4"/>
        <w:spacing w:after="0"/>
        <w:rPr>
          <w:sz w:val="20"/>
          <w:szCs w:val="20"/>
          <w:color w:val="auto"/>
        </w:rPr>
      </w:pPr>
      <w:r>
        <w:rPr>
          <w:rFonts w:ascii="Calibri" w:cs="Calibri" w:eastAsia="Calibri" w:hAnsi="Calibri"/>
          <w:sz w:val="17"/>
          <w:szCs w:val="17"/>
          <w:color w:val="auto"/>
        </w:rPr>
        <w:t>12</w:t>
      </w:r>
    </w:p>
    <w:p>
      <w:pPr>
        <w:sectPr>
          <w:pgSz w:w="11900" w:h="16838" w:orient="portrait"/>
          <w:cols w:equalWidth="0" w:num="1">
            <w:col w:w="9024"/>
          </w:cols>
          <w:pgMar w:left="1440" w:top="1440" w:right="1440" w:bottom="433" w:gutter="0" w:footer="0" w:header="0"/>
          <w:type w:val="continuous"/>
        </w:sectPr>
      </w:pPr>
    </w:p>
    <w:bookmarkStart w:id="14" w:name="page15"/>
    <w:bookmarkEnd w:id="14"/>
    <w:p>
      <w:pPr>
        <w:spacing w:after="0" w:line="1" w:lineRule="exact"/>
        <w:rPr>
          <w:sz w:val="20"/>
          <w:szCs w:val="20"/>
          <w:color w:val="auto"/>
        </w:rPr>
      </w:pPr>
    </w:p>
    <w:p>
      <w:pPr>
        <w:ind w:left="1000"/>
        <w:spacing w:after="0" w:line="390" w:lineRule="exact"/>
        <w:rPr>
          <w:sz w:val="20"/>
          <w:szCs w:val="20"/>
          <w:color w:val="auto"/>
        </w:rPr>
      </w:pPr>
      <w:r>
        <w:rPr>
          <w:rFonts w:ascii="黑体" w:cs="黑体" w:eastAsia="黑体" w:hAnsi="黑体"/>
          <w:sz w:val="32"/>
          <w:szCs w:val="32"/>
          <w:color w:val="auto"/>
        </w:rPr>
        <w:t>附录</w:t>
      </w:r>
      <w:r>
        <w:rPr>
          <w:rFonts w:ascii="Times New Roman" w:cs="Times New Roman" w:eastAsia="Times New Roman" w:hAnsi="Times New Roman"/>
          <w:sz w:val="32"/>
          <w:szCs w:val="32"/>
          <w:color w:val="auto"/>
        </w:rPr>
        <w:t xml:space="preserve"> 3</w:t>
      </w:r>
      <w:r>
        <w:rPr>
          <w:rFonts w:ascii="黑体" w:cs="黑体" w:eastAsia="黑体" w:hAnsi="黑体"/>
          <w:sz w:val="32"/>
          <w:szCs w:val="32"/>
          <w:color w:val="auto"/>
        </w:rPr>
        <w:t>：应用示例</w:t>
      </w:r>
    </w:p>
    <w:p>
      <w:pPr>
        <w:spacing w:after="0" w:line="235"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（一）固定界值法</w:t>
      </w:r>
    </w:p>
    <w:p>
      <w:pPr>
        <w:spacing w:after="0" w:line="255"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以一项用于评估新型抗凝血剂希美加群与阳性对照药</w:t>
      </w:r>
    </w:p>
    <w:p>
      <w:pPr>
        <w:spacing w:after="0" w:line="270" w:lineRule="exact"/>
        <w:rPr>
          <w:sz w:val="20"/>
          <w:szCs w:val="20"/>
          <w:color w:val="auto"/>
        </w:rPr>
      </w:pPr>
    </w:p>
    <w:p>
      <w:pPr>
        <w:jc w:val="center"/>
        <w:ind w:right="-15"/>
        <w:spacing w:after="0" w:line="354" w:lineRule="exact"/>
        <w:rPr>
          <w:sz w:val="20"/>
          <w:szCs w:val="20"/>
          <w:color w:val="auto"/>
        </w:rPr>
      </w:pPr>
      <w:r>
        <w:rPr>
          <w:rFonts w:ascii="宋体" w:cs="宋体" w:eastAsia="宋体" w:hAnsi="宋体"/>
          <w:sz w:val="31"/>
          <w:szCs w:val="31"/>
          <w:color w:val="auto"/>
        </w:rPr>
        <w:t>华法林的非劣效试验为例。华法林是一种高效的口服活性抗</w:t>
      </w:r>
    </w:p>
    <w:p>
      <w:pPr>
        <w:spacing w:after="0" w:line="271" w:lineRule="exact"/>
        <w:rPr>
          <w:sz w:val="20"/>
          <w:szCs w:val="20"/>
          <w:color w:val="auto"/>
        </w:rPr>
      </w:pPr>
    </w:p>
    <w:p>
      <w:pPr>
        <w:ind w:left="360"/>
        <w:spacing w:after="0" w:line="354" w:lineRule="exact"/>
        <w:rPr>
          <w:sz w:val="20"/>
          <w:szCs w:val="20"/>
          <w:color w:val="auto"/>
        </w:rPr>
      </w:pPr>
      <w:r>
        <w:rPr>
          <w:rFonts w:ascii="宋体" w:cs="宋体" w:eastAsia="宋体" w:hAnsi="宋体"/>
          <w:sz w:val="31"/>
          <w:szCs w:val="31"/>
          <w:color w:val="auto"/>
        </w:rPr>
        <w:t>凝剂，已被批准用于治疗具有血栓栓塞并发症风险的非瓣膜</w:t>
      </w:r>
    </w:p>
    <w:p>
      <w:pPr>
        <w:spacing w:after="0" w:line="254"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性心房颤动患者。</w:t>
      </w:r>
      <w:r>
        <w:rPr>
          <w:rFonts w:ascii="Times New Roman" w:cs="Times New Roman" w:eastAsia="Times New Roman" w:hAnsi="Times New Roman"/>
          <w:sz w:val="32"/>
          <w:szCs w:val="32"/>
          <w:color w:val="auto"/>
        </w:rPr>
        <w:t xml:space="preserve">1989 </w:t>
      </w:r>
      <w:r>
        <w:rPr>
          <w:rFonts w:ascii="宋体" w:cs="宋体" w:eastAsia="宋体" w:hAnsi="宋体"/>
          <w:sz w:val="32"/>
          <w:szCs w:val="32"/>
          <w:color w:val="auto"/>
        </w:rPr>
        <w:t>年至</w:t>
      </w:r>
      <w:r>
        <w:rPr>
          <w:rFonts w:ascii="Times New Roman" w:cs="Times New Roman" w:eastAsia="Times New Roman" w:hAnsi="Times New Roman"/>
          <w:sz w:val="32"/>
          <w:szCs w:val="32"/>
          <w:color w:val="auto"/>
        </w:rPr>
        <w:t xml:space="preserve"> 1993 </w:t>
      </w:r>
      <w:r>
        <w:rPr>
          <w:rFonts w:ascii="宋体" w:cs="宋体" w:eastAsia="宋体" w:hAnsi="宋体"/>
          <w:sz w:val="32"/>
          <w:szCs w:val="32"/>
          <w:color w:val="auto"/>
        </w:rPr>
        <w:t>年发表了六项华法林用于</w:t>
      </w:r>
    </w:p>
    <w:p>
      <w:pPr>
        <w:spacing w:after="0" w:line="246" w:lineRule="exact"/>
        <w:rPr>
          <w:sz w:val="20"/>
          <w:szCs w:val="20"/>
          <w:color w:val="auto"/>
        </w:rPr>
      </w:pPr>
    </w:p>
    <w:p>
      <w:pPr>
        <w:jc w:val="center"/>
        <w:ind w:right="-15"/>
        <w:spacing w:after="0" w:line="354" w:lineRule="exact"/>
        <w:rPr>
          <w:sz w:val="20"/>
          <w:szCs w:val="20"/>
          <w:color w:val="auto"/>
        </w:rPr>
      </w:pPr>
      <w:r>
        <w:rPr>
          <w:rFonts w:ascii="宋体" w:cs="宋体" w:eastAsia="宋体" w:hAnsi="宋体"/>
          <w:sz w:val="31"/>
          <w:szCs w:val="31"/>
          <w:color w:val="auto"/>
        </w:rPr>
        <w:t>治疗非瓣膜性心房颤动患者的安慰剂对照试验，主要试验结</w:t>
      </w:r>
    </w:p>
    <w:p>
      <w:pPr>
        <w:spacing w:after="0" w:line="259"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果汇总于附表</w:t>
      </w:r>
      <w:r>
        <w:rPr>
          <w:rFonts w:ascii="Times New Roman" w:cs="Times New Roman" w:eastAsia="Times New Roman" w:hAnsi="Times New Roman"/>
          <w:sz w:val="32"/>
          <w:szCs w:val="32"/>
          <w:color w:val="auto"/>
        </w:rPr>
        <w:t xml:space="preserve"> 1</w:t>
      </w:r>
      <w:r>
        <w:rPr>
          <w:rFonts w:ascii="宋体" w:cs="宋体" w:eastAsia="宋体" w:hAnsi="宋体"/>
          <w:sz w:val="32"/>
          <w:szCs w:val="32"/>
          <w:color w:val="auto"/>
        </w:rPr>
        <w:t>，为评估希美加群与华法林的非劣效试验确</w:t>
      </w:r>
    </w:p>
    <w:p>
      <w:pPr>
        <w:spacing w:after="0" w:line="235" w:lineRule="exact"/>
        <w:rPr>
          <w:sz w:val="20"/>
          <w:szCs w:val="20"/>
          <w:color w:val="auto"/>
        </w:rPr>
      </w:pPr>
    </w:p>
    <w:p>
      <w:pPr>
        <w:ind w:left="360"/>
        <w:spacing w:after="0" w:line="366" w:lineRule="exact"/>
        <w:rPr>
          <w:sz w:val="20"/>
          <w:szCs w:val="20"/>
          <w:color w:val="auto"/>
        </w:rPr>
      </w:pPr>
      <w:r>
        <w:rPr>
          <w:rFonts w:ascii="宋体" w:cs="宋体" w:eastAsia="宋体" w:hAnsi="宋体"/>
          <w:sz w:val="32"/>
          <w:szCs w:val="32"/>
          <w:color w:val="auto"/>
        </w:rPr>
        <w:t>定非劣效界值提供基础。</w:t>
      </w:r>
    </w:p>
    <w:p>
      <w:pPr>
        <w:spacing w:after="0" w:line="200" w:lineRule="exact"/>
        <w:rPr>
          <w:sz w:val="20"/>
          <w:szCs w:val="20"/>
          <w:color w:val="auto"/>
        </w:rPr>
      </w:pPr>
    </w:p>
    <w:p>
      <w:pPr>
        <w:spacing w:after="0" w:line="200" w:lineRule="exact"/>
        <w:rPr>
          <w:sz w:val="20"/>
          <w:szCs w:val="20"/>
          <w:color w:val="auto"/>
        </w:rPr>
      </w:pPr>
    </w:p>
    <w:p>
      <w:pPr>
        <w:spacing w:after="0" w:line="396" w:lineRule="exact"/>
        <w:rPr>
          <w:sz w:val="20"/>
          <w:szCs w:val="20"/>
          <w:color w:val="auto"/>
        </w:rPr>
      </w:pPr>
    </w:p>
    <w:p>
      <w:pPr>
        <w:jc w:val="center"/>
        <w:ind w:right="4"/>
        <w:spacing w:after="0" w:line="400" w:lineRule="exact"/>
        <w:tabs>
          <w:tab w:leader="none" w:pos="280" w:val="left"/>
        </w:tabs>
        <w:rPr>
          <w:sz w:val="20"/>
          <w:szCs w:val="20"/>
          <w:color w:val="auto"/>
        </w:rPr>
      </w:pPr>
      <w:r>
        <w:rPr>
          <w:rFonts w:ascii="宋体" w:cs="宋体" w:eastAsia="宋体" w:hAnsi="宋体"/>
          <w:sz w:val="32"/>
          <w:szCs w:val="32"/>
          <w:b w:val="1"/>
          <w:bCs w:val="1"/>
          <w:color w:val="auto"/>
        </w:rPr>
        <w:t>附表</w:t>
      </w:r>
      <w:r>
        <w:rPr>
          <w:rFonts w:ascii="Times New Roman" w:cs="Times New Roman" w:eastAsia="Times New Roman" w:hAnsi="Times New Roman"/>
          <w:sz w:val="32"/>
          <w:szCs w:val="32"/>
          <w:b w:val="1"/>
          <w:bCs w:val="1"/>
          <w:color w:val="auto"/>
        </w:rPr>
        <w:t xml:space="preserve"> 1</w:t>
      </w:r>
      <w:r>
        <w:rPr>
          <w:sz w:val="20"/>
          <w:szCs w:val="20"/>
          <w:color w:val="auto"/>
        </w:rPr>
        <w:tab/>
      </w:r>
      <w:r>
        <w:rPr>
          <w:rFonts w:ascii="宋体" w:cs="宋体" w:eastAsia="宋体" w:hAnsi="宋体"/>
          <w:sz w:val="32"/>
          <w:szCs w:val="32"/>
          <w:b w:val="1"/>
          <w:bCs w:val="1"/>
          <w:color w:val="auto"/>
        </w:rPr>
        <w:t>华法林用于治疗非瓣膜性心房颤动的</w:t>
      </w:r>
    </w:p>
    <w:p>
      <w:pPr>
        <w:spacing w:after="0" w:line="235" w:lineRule="exact"/>
        <w:rPr>
          <w:sz w:val="20"/>
          <w:szCs w:val="20"/>
          <w:color w:val="auto"/>
        </w:rPr>
      </w:pPr>
    </w:p>
    <w:p>
      <w:pPr>
        <w:jc w:val="center"/>
        <w:ind w:right="-15"/>
        <w:spacing w:after="0" w:line="366" w:lineRule="exact"/>
        <w:rPr>
          <w:sz w:val="20"/>
          <w:szCs w:val="20"/>
          <w:color w:val="auto"/>
        </w:rPr>
      </w:pPr>
      <w:r>
        <w:rPr>
          <w:rFonts w:ascii="宋体" w:cs="宋体" w:eastAsia="宋体" w:hAnsi="宋体"/>
          <w:sz w:val="32"/>
          <w:szCs w:val="32"/>
          <w:b w:val="1"/>
          <w:bCs w:val="1"/>
          <w:color w:val="auto"/>
        </w:rPr>
        <w:t>安慰剂对照试验</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228600</wp:posOffset>
                </wp:positionH>
                <wp:positionV relativeFrom="paragraph">
                  <wp:posOffset>172720</wp:posOffset>
                </wp:positionV>
                <wp:extent cx="5275580" cy="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27558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pt,13.6pt" to="433.4pt,13.6pt" o:allowincell="f" strokecolor="#000000" strokeweight="1.44pt"/>
            </w:pict>
          </mc:Fallback>
        </mc:AlternateContent>
      </w:r>
    </w:p>
    <w:p>
      <w:pPr>
        <w:spacing w:after="0" w:line="263" w:lineRule="exact"/>
        <w:rPr>
          <w:sz w:val="20"/>
          <w:szCs w:val="20"/>
          <w:color w:val="auto"/>
        </w:rPr>
      </w:pPr>
    </w:p>
    <w:tbl>
      <w:tblPr>
        <w:tblLayout w:type="fixed"/>
        <w:tblInd w:w="340" w:type="dxa"/>
        <w:tblCellMar>
          <w:top w:w="0" w:type="dxa"/>
          <w:left w:w="0" w:type="dxa"/>
          <w:bottom w:w="0" w:type="dxa"/>
          <w:right w:w="0" w:type="dxa"/>
        </w:tblCellMar>
      </w:tblPr>
      <w:tr>
        <w:trPr>
          <w:trHeight w:val="255"/>
        </w:trPr>
        <w:tc>
          <w:tcPr>
            <w:tcW w:w="20" w:type="dxa"/>
            <w:vAlign w:val="bottom"/>
          </w:tcPr>
          <w:p>
            <w:pPr>
              <w:spacing w:after="0"/>
              <w:rPr>
                <w:sz w:val="22"/>
                <w:szCs w:val="22"/>
                <w:color w:val="auto"/>
              </w:rPr>
            </w:pPr>
          </w:p>
        </w:tc>
        <w:tc>
          <w:tcPr>
            <w:tcW w:w="900" w:type="dxa"/>
            <w:vAlign w:val="bottom"/>
            <w:vMerge w:val="restart"/>
          </w:tcPr>
          <w:p>
            <w:pPr>
              <w:spacing w:after="0" w:line="240" w:lineRule="exact"/>
              <w:rPr>
                <w:sz w:val="20"/>
                <w:szCs w:val="20"/>
                <w:color w:val="auto"/>
              </w:rPr>
            </w:pPr>
            <w:r>
              <w:rPr>
                <w:rFonts w:ascii="宋体" w:cs="宋体" w:eastAsia="宋体" w:hAnsi="宋体"/>
                <w:sz w:val="21"/>
                <w:szCs w:val="21"/>
                <w:color w:val="auto"/>
              </w:rPr>
              <w:t>试验</w:t>
            </w:r>
          </w:p>
        </w:tc>
        <w:tc>
          <w:tcPr>
            <w:tcW w:w="1940" w:type="dxa"/>
            <w:vAlign w:val="bottom"/>
            <w:vMerge w:val="restart"/>
          </w:tcPr>
          <w:p>
            <w:pPr>
              <w:ind w:left="100"/>
              <w:spacing w:after="0" w:line="240" w:lineRule="exact"/>
              <w:rPr>
                <w:sz w:val="20"/>
                <w:szCs w:val="20"/>
                <w:color w:val="auto"/>
              </w:rPr>
            </w:pPr>
            <w:r>
              <w:rPr>
                <w:rFonts w:ascii="宋体" w:cs="宋体" w:eastAsia="宋体" w:hAnsi="宋体"/>
                <w:sz w:val="21"/>
                <w:szCs w:val="21"/>
                <w:color w:val="auto"/>
              </w:rPr>
              <w:t>概要</w:t>
            </w:r>
          </w:p>
        </w:tc>
        <w:tc>
          <w:tcPr>
            <w:tcW w:w="3400" w:type="dxa"/>
            <w:vAlign w:val="bottom"/>
            <w:gridSpan w:val="2"/>
          </w:tcPr>
          <w:p>
            <w:pPr>
              <w:ind w:left="1260"/>
              <w:spacing w:after="0" w:line="256" w:lineRule="exact"/>
              <w:rPr>
                <w:sz w:val="20"/>
                <w:szCs w:val="20"/>
                <w:color w:val="auto"/>
              </w:rPr>
            </w:pPr>
            <w:r>
              <w:rPr>
                <w:rFonts w:ascii="宋体" w:cs="宋体" w:eastAsia="宋体" w:hAnsi="宋体"/>
                <w:sz w:val="21"/>
                <w:szCs w:val="21"/>
                <w:color w:val="auto"/>
              </w:rPr>
              <w:t>事件</w:t>
            </w:r>
            <w:r>
              <w:rPr>
                <w:rFonts w:ascii="Times New Roman" w:cs="Times New Roman" w:eastAsia="Times New Roman" w:hAnsi="Times New Roman"/>
                <w:sz w:val="21"/>
                <w:szCs w:val="21"/>
                <w:color w:val="auto"/>
              </w:rPr>
              <w:t>/</w:t>
            </w:r>
            <w:r>
              <w:rPr>
                <w:rFonts w:ascii="宋体" w:cs="宋体" w:eastAsia="宋体" w:hAnsi="宋体"/>
                <w:sz w:val="21"/>
                <w:szCs w:val="21"/>
                <w:color w:val="auto"/>
              </w:rPr>
              <w:t>人年</w:t>
            </w:r>
          </w:p>
        </w:tc>
        <w:tc>
          <w:tcPr>
            <w:tcW w:w="2060" w:type="dxa"/>
            <w:vAlign w:val="bottom"/>
          </w:tcPr>
          <w:p>
            <w:pPr>
              <w:jc w:val="center"/>
              <w:spacing w:after="0" w:line="240" w:lineRule="exact"/>
              <w:rPr>
                <w:sz w:val="20"/>
                <w:szCs w:val="20"/>
                <w:color w:val="auto"/>
              </w:rPr>
            </w:pPr>
            <w:r>
              <w:rPr>
                <w:rFonts w:ascii="宋体" w:cs="宋体" w:eastAsia="宋体" w:hAnsi="宋体"/>
                <w:sz w:val="21"/>
                <w:szCs w:val="21"/>
                <w:color w:val="auto"/>
              </w:rPr>
              <w:t>华法林与安慰剂的相</w:t>
            </w:r>
          </w:p>
        </w:tc>
        <w:tc>
          <w:tcPr>
            <w:tcW w:w="0" w:type="dxa"/>
            <w:vAlign w:val="bottom"/>
          </w:tcPr>
          <w:p>
            <w:pPr>
              <w:spacing w:after="0"/>
              <w:rPr>
                <w:sz w:val="1"/>
                <w:szCs w:val="1"/>
                <w:color w:val="auto"/>
              </w:rPr>
            </w:pPr>
          </w:p>
        </w:tc>
      </w:tr>
      <w:tr>
        <w:trPr>
          <w:trHeight w:val="23"/>
        </w:trPr>
        <w:tc>
          <w:tcPr>
            <w:tcW w:w="20" w:type="dxa"/>
            <w:vAlign w:val="bottom"/>
          </w:tcPr>
          <w:p>
            <w:pPr>
              <w:spacing w:after="0"/>
              <w:rPr>
                <w:sz w:val="2"/>
                <w:szCs w:val="2"/>
                <w:color w:val="auto"/>
              </w:rPr>
            </w:pPr>
          </w:p>
        </w:tc>
        <w:tc>
          <w:tcPr>
            <w:tcW w:w="900" w:type="dxa"/>
            <w:vAlign w:val="bottom"/>
            <w:vMerge w:val="continue"/>
          </w:tcPr>
          <w:p>
            <w:pPr>
              <w:spacing w:after="0"/>
              <w:rPr>
                <w:sz w:val="2"/>
                <w:szCs w:val="2"/>
                <w:color w:val="auto"/>
              </w:rPr>
            </w:pPr>
          </w:p>
        </w:tc>
        <w:tc>
          <w:tcPr>
            <w:tcW w:w="1940" w:type="dxa"/>
            <w:vAlign w:val="bottom"/>
            <w:vMerge w:val="continue"/>
          </w:tcPr>
          <w:p>
            <w:pPr>
              <w:spacing w:after="0"/>
              <w:rPr>
                <w:sz w:val="2"/>
                <w:szCs w:val="2"/>
                <w:color w:val="auto"/>
              </w:rPr>
            </w:pPr>
          </w:p>
        </w:tc>
        <w:tc>
          <w:tcPr>
            <w:tcW w:w="1700" w:type="dxa"/>
            <w:vAlign w:val="bottom"/>
            <w:tcBorders>
              <w:bottom w:val="single" w:sz="8" w:color="auto"/>
            </w:tcBorders>
          </w:tcPr>
          <w:p>
            <w:pPr>
              <w:spacing w:after="0"/>
              <w:rPr>
                <w:sz w:val="2"/>
                <w:szCs w:val="2"/>
                <w:color w:val="auto"/>
              </w:rPr>
            </w:pPr>
          </w:p>
        </w:tc>
        <w:tc>
          <w:tcPr>
            <w:tcW w:w="1700" w:type="dxa"/>
            <w:vAlign w:val="bottom"/>
            <w:tcBorders>
              <w:bottom w:val="single" w:sz="8" w:color="auto"/>
            </w:tcBorders>
          </w:tcPr>
          <w:p>
            <w:pPr>
              <w:spacing w:after="0"/>
              <w:rPr>
                <w:sz w:val="2"/>
                <w:szCs w:val="2"/>
                <w:color w:val="auto"/>
              </w:rPr>
            </w:pPr>
          </w:p>
        </w:tc>
        <w:tc>
          <w:tcPr>
            <w:tcW w:w="2060" w:type="dxa"/>
            <w:vAlign w:val="bottom"/>
            <w:vMerge w:val="restart"/>
          </w:tcPr>
          <w:p>
            <w:pPr>
              <w:ind w:left="180"/>
              <w:spacing w:after="0" w:line="256" w:lineRule="exact"/>
              <w:rPr>
                <w:sz w:val="20"/>
                <w:szCs w:val="20"/>
                <w:color w:val="auto"/>
              </w:rPr>
            </w:pPr>
            <w:r>
              <w:rPr>
                <w:rFonts w:ascii="宋体" w:cs="宋体" w:eastAsia="宋体" w:hAnsi="宋体"/>
                <w:sz w:val="21"/>
                <w:szCs w:val="21"/>
                <w:color w:val="auto"/>
              </w:rPr>
              <w:t>对风险（</w:t>
            </w:r>
            <w:r>
              <w:rPr>
                <w:rFonts w:ascii="Times New Roman" w:cs="Times New Roman" w:eastAsia="Times New Roman" w:hAnsi="Times New Roman"/>
                <w:sz w:val="21"/>
                <w:szCs w:val="21"/>
                <w:color w:val="auto"/>
              </w:rPr>
              <w:t xml:space="preserve">95% </w:t>
            </w:r>
            <w:r>
              <w:rPr>
                <w:rFonts w:ascii="Times New Roman" w:cs="Times New Roman" w:eastAsia="Times New Roman" w:hAnsi="Times New Roman"/>
                <w:sz w:val="21"/>
                <w:szCs w:val="21"/>
                <w:i w:val="1"/>
                <w:iCs w:val="1"/>
                <w:color w:val="auto"/>
              </w:rPr>
              <w:t>CI</w:t>
            </w:r>
            <w:r>
              <w:rPr>
                <w:rFonts w:ascii="宋体" w:cs="宋体" w:eastAsia="宋体" w:hAnsi="宋体"/>
                <w:sz w:val="21"/>
                <w:szCs w:val="21"/>
                <w:color w:val="auto"/>
              </w:rPr>
              <w:t>）</w:t>
            </w:r>
          </w:p>
        </w:tc>
        <w:tc>
          <w:tcPr>
            <w:tcW w:w="0" w:type="dxa"/>
            <w:vAlign w:val="bottom"/>
          </w:tcPr>
          <w:p>
            <w:pPr>
              <w:spacing w:after="0"/>
              <w:rPr>
                <w:sz w:val="1"/>
                <w:szCs w:val="1"/>
                <w:color w:val="auto"/>
              </w:rPr>
            </w:pPr>
          </w:p>
        </w:tc>
      </w:tr>
      <w:tr>
        <w:trPr>
          <w:trHeight w:val="90"/>
        </w:trPr>
        <w:tc>
          <w:tcPr>
            <w:tcW w:w="20" w:type="dxa"/>
            <w:vAlign w:val="bottom"/>
          </w:tcPr>
          <w:p>
            <w:pPr>
              <w:spacing w:after="0"/>
              <w:rPr>
                <w:sz w:val="7"/>
                <w:szCs w:val="7"/>
                <w:color w:val="auto"/>
              </w:rPr>
            </w:pPr>
          </w:p>
        </w:tc>
        <w:tc>
          <w:tcPr>
            <w:tcW w:w="900" w:type="dxa"/>
            <w:vAlign w:val="bottom"/>
            <w:vMerge w:val="continue"/>
          </w:tcPr>
          <w:p>
            <w:pPr>
              <w:spacing w:after="0"/>
              <w:rPr>
                <w:sz w:val="7"/>
                <w:szCs w:val="7"/>
                <w:color w:val="auto"/>
              </w:rPr>
            </w:pPr>
          </w:p>
        </w:tc>
        <w:tc>
          <w:tcPr>
            <w:tcW w:w="1940" w:type="dxa"/>
            <w:vAlign w:val="bottom"/>
            <w:vMerge w:val="continue"/>
          </w:tcPr>
          <w:p>
            <w:pPr>
              <w:spacing w:after="0"/>
              <w:rPr>
                <w:sz w:val="7"/>
                <w:szCs w:val="7"/>
                <w:color w:val="auto"/>
              </w:rPr>
            </w:pPr>
          </w:p>
        </w:tc>
        <w:tc>
          <w:tcPr>
            <w:tcW w:w="1700" w:type="dxa"/>
            <w:vAlign w:val="bottom"/>
            <w:vMerge w:val="restart"/>
          </w:tcPr>
          <w:p>
            <w:pPr>
              <w:jc w:val="center"/>
              <w:spacing w:after="0" w:line="240" w:lineRule="exact"/>
              <w:rPr>
                <w:sz w:val="20"/>
                <w:szCs w:val="20"/>
                <w:color w:val="auto"/>
              </w:rPr>
            </w:pPr>
            <w:r>
              <w:rPr>
                <w:rFonts w:ascii="宋体" w:cs="宋体" w:eastAsia="宋体" w:hAnsi="宋体"/>
                <w:sz w:val="21"/>
                <w:szCs w:val="21"/>
                <w:color w:val="auto"/>
                <w:w w:val="98"/>
              </w:rPr>
              <w:t>华法林</w:t>
            </w:r>
          </w:p>
        </w:tc>
        <w:tc>
          <w:tcPr>
            <w:tcW w:w="1700" w:type="dxa"/>
            <w:vAlign w:val="bottom"/>
            <w:vMerge w:val="restart"/>
          </w:tcPr>
          <w:p>
            <w:pPr>
              <w:jc w:val="center"/>
              <w:spacing w:after="0" w:line="240" w:lineRule="exact"/>
              <w:rPr>
                <w:sz w:val="20"/>
                <w:szCs w:val="20"/>
                <w:color w:val="auto"/>
              </w:rPr>
            </w:pPr>
            <w:r>
              <w:rPr>
                <w:rFonts w:ascii="宋体" w:cs="宋体" w:eastAsia="宋体" w:hAnsi="宋体"/>
                <w:sz w:val="21"/>
                <w:szCs w:val="21"/>
                <w:color w:val="auto"/>
              </w:rPr>
              <w:t>安慰剂</w:t>
            </w:r>
          </w:p>
        </w:tc>
        <w:tc>
          <w:tcPr>
            <w:tcW w:w="2060" w:type="dxa"/>
            <w:vAlign w:val="bottom"/>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55"/>
        </w:trPr>
        <w:tc>
          <w:tcPr>
            <w:tcW w:w="20" w:type="dxa"/>
            <w:vAlign w:val="bottom"/>
          </w:tcPr>
          <w:p>
            <w:pPr>
              <w:spacing w:after="0"/>
              <w:rPr>
                <w:sz w:val="13"/>
                <w:szCs w:val="13"/>
                <w:color w:val="auto"/>
              </w:rPr>
            </w:pPr>
          </w:p>
        </w:tc>
        <w:tc>
          <w:tcPr>
            <w:tcW w:w="900" w:type="dxa"/>
            <w:vAlign w:val="bottom"/>
          </w:tcPr>
          <w:p>
            <w:pPr>
              <w:spacing w:after="0"/>
              <w:rPr>
                <w:sz w:val="13"/>
                <w:szCs w:val="13"/>
                <w:color w:val="auto"/>
              </w:rPr>
            </w:pPr>
          </w:p>
        </w:tc>
        <w:tc>
          <w:tcPr>
            <w:tcW w:w="1940" w:type="dxa"/>
            <w:vAlign w:val="bottom"/>
          </w:tcPr>
          <w:p>
            <w:pPr>
              <w:spacing w:after="0"/>
              <w:rPr>
                <w:sz w:val="13"/>
                <w:szCs w:val="13"/>
                <w:color w:val="auto"/>
              </w:rPr>
            </w:pPr>
          </w:p>
        </w:tc>
        <w:tc>
          <w:tcPr>
            <w:tcW w:w="1700" w:type="dxa"/>
            <w:vAlign w:val="bottom"/>
            <w:vMerge w:val="continue"/>
          </w:tcPr>
          <w:p>
            <w:pPr>
              <w:spacing w:after="0"/>
              <w:rPr>
                <w:sz w:val="13"/>
                <w:szCs w:val="13"/>
                <w:color w:val="auto"/>
              </w:rPr>
            </w:pPr>
          </w:p>
        </w:tc>
        <w:tc>
          <w:tcPr>
            <w:tcW w:w="1700" w:type="dxa"/>
            <w:vAlign w:val="bottom"/>
            <w:vMerge w:val="continue"/>
          </w:tcPr>
          <w:p>
            <w:pPr>
              <w:spacing w:after="0"/>
              <w:rPr>
                <w:sz w:val="13"/>
                <w:szCs w:val="13"/>
                <w:color w:val="auto"/>
              </w:rPr>
            </w:pPr>
          </w:p>
        </w:tc>
        <w:tc>
          <w:tcPr>
            <w:tcW w:w="206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38"/>
        </w:trPr>
        <w:tc>
          <w:tcPr>
            <w:tcW w:w="20" w:type="dxa"/>
            <w:vAlign w:val="bottom"/>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1940" w:type="dxa"/>
            <w:vAlign w:val="bottom"/>
            <w:tcBorders>
              <w:bottom w:val="single" w:sz="8" w:color="auto"/>
            </w:tcBorders>
          </w:tcPr>
          <w:p>
            <w:pPr>
              <w:spacing w:after="0"/>
              <w:rPr>
                <w:sz w:val="3"/>
                <w:szCs w:val="3"/>
                <w:color w:val="auto"/>
              </w:rPr>
            </w:pPr>
          </w:p>
        </w:tc>
        <w:tc>
          <w:tcPr>
            <w:tcW w:w="1700" w:type="dxa"/>
            <w:vAlign w:val="bottom"/>
            <w:tcBorders>
              <w:bottom w:val="single" w:sz="8" w:color="auto"/>
            </w:tcBorders>
          </w:tcPr>
          <w:p>
            <w:pPr>
              <w:spacing w:after="0"/>
              <w:rPr>
                <w:sz w:val="3"/>
                <w:szCs w:val="3"/>
                <w:color w:val="auto"/>
              </w:rPr>
            </w:pPr>
          </w:p>
        </w:tc>
        <w:tc>
          <w:tcPr>
            <w:tcW w:w="1700" w:type="dxa"/>
            <w:vAlign w:val="bottom"/>
            <w:tcBorders>
              <w:bottom w:val="single" w:sz="8" w:color="auto"/>
            </w:tcBorders>
          </w:tcPr>
          <w:p>
            <w:pPr>
              <w:spacing w:after="0"/>
              <w:rPr>
                <w:sz w:val="3"/>
                <w:szCs w:val="3"/>
                <w:color w:val="auto"/>
              </w:rPr>
            </w:pPr>
          </w:p>
        </w:tc>
        <w:tc>
          <w:tcPr>
            <w:tcW w:w="2060" w:type="dxa"/>
            <w:vAlign w:val="bottom"/>
            <w:tcBorders>
              <w:bottom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40"/>
        </w:trPr>
        <w:tc>
          <w:tcPr>
            <w:tcW w:w="20" w:type="dxa"/>
            <w:vAlign w:val="bottom"/>
          </w:tcPr>
          <w:p>
            <w:pPr>
              <w:spacing w:after="0"/>
              <w:rPr>
                <w:sz w:val="20"/>
                <w:szCs w:val="20"/>
                <w:color w:val="auto"/>
              </w:rPr>
            </w:pPr>
          </w:p>
        </w:tc>
        <w:tc>
          <w:tcPr>
            <w:tcW w:w="900" w:type="dxa"/>
            <w:vAlign w:val="bottom"/>
          </w:tcPr>
          <w:p>
            <w:pPr>
              <w:spacing w:after="0" w:line="235" w:lineRule="exact"/>
              <w:rPr>
                <w:sz w:val="20"/>
                <w:szCs w:val="20"/>
                <w:color w:val="auto"/>
              </w:rPr>
            </w:pPr>
            <w:r>
              <w:rPr>
                <w:rFonts w:ascii="Times New Roman" w:cs="Times New Roman" w:eastAsia="Times New Roman" w:hAnsi="Times New Roman"/>
                <w:sz w:val="21"/>
                <w:szCs w:val="21"/>
                <w:color w:val="auto"/>
              </w:rPr>
              <w:t>AFASAK</w:t>
            </w:r>
          </w:p>
        </w:tc>
        <w:tc>
          <w:tcPr>
            <w:tcW w:w="1940" w:type="dxa"/>
            <w:vAlign w:val="bottom"/>
          </w:tcPr>
          <w:p>
            <w:pPr>
              <w:ind w:left="100"/>
              <w:spacing w:after="0" w:line="240" w:lineRule="exact"/>
              <w:rPr>
                <w:sz w:val="20"/>
                <w:szCs w:val="20"/>
                <w:color w:val="auto"/>
              </w:rPr>
            </w:pPr>
            <w:r>
              <w:rPr>
                <w:rFonts w:ascii="宋体" w:cs="宋体" w:eastAsia="宋体" w:hAnsi="宋体"/>
                <w:sz w:val="21"/>
                <w:szCs w:val="21"/>
                <w:color w:val="auto"/>
              </w:rPr>
              <w:t>开放，</w:t>
            </w:r>
            <w:r>
              <w:rPr>
                <w:rFonts w:ascii="Times New Roman" w:cs="Times New Roman" w:eastAsia="Times New Roman" w:hAnsi="Times New Roman"/>
                <w:sz w:val="21"/>
                <w:szCs w:val="21"/>
                <w:color w:val="auto"/>
              </w:rPr>
              <w:t xml:space="preserve">1.2 </w:t>
            </w:r>
            <w:r>
              <w:rPr>
                <w:rFonts w:ascii="宋体" w:cs="宋体" w:eastAsia="宋体" w:hAnsi="宋体"/>
                <w:sz w:val="21"/>
                <w:szCs w:val="21"/>
                <w:color w:val="auto"/>
              </w:rPr>
              <w:t>年随访</w:t>
            </w:r>
          </w:p>
        </w:tc>
        <w:tc>
          <w:tcPr>
            <w:tcW w:w="1700" w:type="dxa"/>
            <w:vAlign w:val="bottom"/>
          </w:tcPr>
          <w:p>
            <w:pPr>
              <w:jc w:val="center"/>
              <w:spacing w:after="0" w:line="235" w:lineRule="exact"/>
              <w:rPr>
                <w:sz w:val="20"/>
                <w:szCs w:val="20"/>
                <w:color w:val="auto"/>
              </w:rPr>
            </w:pPr>
            <w:r>
              <w:rPr>
                <w:rFonts w:ascii="Times New Roman" w:cs="Times New Roman" w:eastAsia="Times New Roman" w:hAnsi="Times New Roman"/>
                <w:sz w:val="21"/>
                <w:szCs w:val="21"/>
                <w:color w:val="auto"/>
              </w:rPr>
              <w:t>9/413 = 2.18%</w:t>
            </w:r>
          </w:p>
        </w:tc>
        <w:tc>
          <w:tcPr>
            <w:tcW w:w="1700" w:type="dxa"/>
            <w:vAlign w:val="bottom"/>
          </w:tcPr>
          <w:p>
            <w:pPr>
              <w:jc w:val="center"/>
              <w:spacing w:after="0" w:line="235" w:lineRule="exact"/>
              <w:rPr>
                <w:sz w:val="20"/>
                <w:szCs w:val="20"/>
                <w:color w:val="auto"/>
              </w:rPr>
            </w:pPr>
            <w:r>
              <w:rPr>
                <w:rFonts w:ascii="Times New Roman" w:cs="Times New Roman" w:eastAsia="Times New Roman" w:hAnsi="Times New Roman"/>
                <w:sz w:val="21"/>
                <w:szCs w:val="21"/>
                <w:color w:val="auto"/>
                <w:w w:val="99"/>
              </w:rPr>
              <w:t>21/398 = 5.28%</w:t>
            </w:r>
          </w:p>
        </w:tc>
        <w:tc>
          <w:tcPr>
            <w:tcW w:w="2060" w:type="dxa"/>
            <w:vAlign w:val="bottom"/>
          </w:tcPr>
          <w:p>
            <w:pPr>
              <w:jc w:val="center"/>
              <w:spacing w:after="0" w:line="235" w:lineRule="exact"/>
              <w:rPr>
                <w:sz w:val="20"/>
                <w:szCs w:val="20"/>
                <w:color w:val="auto"/>
              </w:rPr>
            </w:pPr>
            <w:r>
              <w:rPr>
                <w:rFonts w:ascii="Times New Roman" w:cs="Times New Roman" w:eastAsia="Times New Roman" w:hAnsi="Times New Roman"/>
                <w:sz w:val="21"/>
                <w:szCs w:val="21"/>
                <w:color w:val="auto"/>
                <w:w w:val="99"/>
              </w:rPr>
              <w:t>0.41 (0.19, 0.89)</w:t>
            </w:r>
          </w:p>
        </w:tc>
        <w:tc>
          <w:tcPr>
            <w:tcW w:w="0" w:type="dxa"/>
            <w:vAlign w:val="bottom"/>
          </w:tcPr>
          <w:p>
            <w:pPr>
              <w:spacing w:after="0"/>
              <w:rPr>
                <w:sz w:val="1"/>
                <w:szCs w:val="1"/>
                <w:color w:val="auto"/>
              </w:rPr>
            </w:pPr>
          </w:p>
        </w:tc>
      </w:tr>
      <w:tr>
        <w:trPr>
          <w:trHeight w:val="269"/>
        </w:trPr>
        <w:tc>
          <w:tcPr>
            <w:tcW w:w="20" w:type="dxa"/>
            <w:vAlign w:val="bottom"/>
          </w:tcPr>
          <w:p>
            <w:pPr>
              <w:spacing w:after="0"/>
              <w:rPr>
                <w:sz w:val="23"/>
                <w:szCs w:val="23"/>
                <w:color w:val="auto"/>
              </w:rPr>
            </w:pPr>
          </w:p>
        </w:tc>
        <w:tc>
          <w:tcPr>
            <w:tcW w:w="900" w:type="dxa"/>
            <w:vAlign w:val="bottom"/>
          </w:tcPr>
          <w:p>
            <w:pPr>
              <w:spacing w:after="0"/>
              <w:rPr>
                <w:sz w:val="20"/>
                <w:szCs w:val="20"/>
                <w:color w:val="auto"/>
              </w:rPr>
            </w:pPr>
            <w:r>
              <w:rPr>
                <w:rFonts w:ascii="Times New Roman" w:cs="Times New Roman" w:eastAsia="Times New Roman" w:hAnsi="Times New Roman"/>
                <w:sz w:val="21"/>
                <w:szCs w:val="21"/>
                <w:color w:val="auto"/>
              </w:rPr>
              <w:t>BAATAF</w:t>
            </w:r>
          </w:p>
        </w:tc>
        <w:tc>
          <w:tcPr>
            <w:tcW w:w="1940" w:type="dxa"/>
            <w:vAlign w:val="bottom"/>
          </w:tcPr>
          <w:p>
            <w:pPr>
              <w:ind w:left="100"/>
              <w:spacing w:after="0" w:line="256" w:lineRule="exact"/>
              <w:rPr>
                <w:sz w:val="20"/>
                <w:szCs w:val="20"/>
                <w:color w:val="auto"/>
              </w:rPr>
            </w:pPr>
            <w:r>
              <w:rPr>
                <w:rFonts w:ascii="宋体" w:cs="宋体" w:eastAsia="宋体" w:hAnsi="宋体"/>
                <w:sz w:val="21"/>
                <w:szCs w:val="21"/>
                <w:color w:val="auto"/>
              </w:rPr>
              <w:t>开放，</w:t>
            </w:r>
            <w:r>
              <w:rPr>
                <w:rFonts w:ascii="Times New Roman" w:cs="Times New Roman" w:eastAsia="Times New Roman" w:hAnsi="Times New Roman"/>
                <w:sz w:val="21"/>
                <w:szCs w:val="21"/>
                <w:color w:val="auto"/>
              </w:rPr>
              <w:t xml:space="preserve">2.2 </w:t>
            </w:r>
            <w:r>
              <w:rPr>
                <w:rFonts w:ascii="宋体" w:cs="宋体" w:eastAsia="宋体" w:hAnsi="宋体"/>
                <w:sz w:val="21"/>
                <w:szCs w:val="21"/>
                <w:color w:val="auto"/>
              </w:rPr>
              <w:t>年随访</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rPr>
              <w:t>3/487 = 0.62%</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13/435 = 2.99%</w:t>
            </w:r>
          </w:p>
        </w:tc>
        <w:tc>
          <w:tcPr>
            <w:tcW w:w="206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0.21 (0.06, 0.72)</w:t>
            </w:r>
          </w:p>
        </w:tc>
        <w:tc>
          <w:tcPr>
            <w:tcW w:w="0" w:type="dxa"/>
            <w:vAlign w:val="bottom"/>
          </w:tcPr>
          <w:p>
            <w:pPr>
              <w:spacing w:after="0"/>
              <w:rPr>
                <w:sz w:val="1"/>
                <w:szCs w:val="1"/>
                <w:color w:val="auto"/>
              </w:rPr>
            </w:pPr>
          </w:p>
        </w:tc>
      </w:tr>
      <w:tr>
        <w:trPr>
          <w:trHeight w:val="274"/>
        </w:trPr>
        <w:tc>
          <w:tcPr>
            <w:tcW w:w="20" w:type="dxa"/>
            <w:vAlign w:val="bottom"/>
          </w:tcPr>
          <w:p>
            <w:pPr>
              <w:spacing w:after="0"/>
              <w:rPr>
                <w:sz w:val="23"/>
                <w:szCs w:val="23"/>
                <w:color w:val="auto"/>
              </w:rPr>
            </w:pPr>
          </w:p>
        </w:tc>
        <w:tc>
          <w:tcPr>
            <w:tcW w:w="900" w:type="dxa"/>
            <w:vAlign w:val="bottom"/>
          </w:tcPr>
          <w:p>
            <w:pPr>
              <w:spacing w:after="0"/>
              <w:rPr>
                <w:sz w:val="20"/>
                <w:szCs w:val="20"/>
                <w:color w:val="auto"/>
              </w:rPr>
            </w:pPr>
            <w:r>
              <w:rPr>
                <w:rFonts w:ascii="Times New Roman" w:cs="Times New Roman" w:eastAsia="Times New Roman" w:hAnsi="Times New Roman"/>
                <w:sz w:val="21"/>
                <w:szCs w:val="21"/>
                <w:color w:val="auto"/>
              </w:rPr>
              <w:t>EAFT</w:t>
            </w:r>
          </w:p>
        </w:tc>
        <w:tc>
          <w:tcPr>
            <w:tcW w:w="1940" w:type="dxa"/>
            <w:vAlign w:val="bottom"/>
          </w:tcPr>
          <w:p>
            <w:pPr>
              <w:ind w:left="100"/>
              <w:spacing w:after="0" w:line="256" w:lineRule="exact"/>
              <w:rPr>
                <w:sz w:val="20"/>
                <w:szCs w:val="20"/>
                <w:color w:val="auto"/>
              </w:rPr>
            </w:pPr>
            <w:r>
              <w:rPr>
                <w:rFonts w:ascii="宋体" w:cs="宋体" w:eastAsia="宋体" w:hAnsi="宋体"/>
                <w:sz w:val="21"/>
                <w:szCs w:val="21"/>
                <w:color w:val="auto"/>
              </w:rPr>
              <w:t>开放，</w:t>
            </w:r>
            <w:r>
              <w:rPr>
                <w:rFonts w:ascii="Times New Roman" w:cs="Times New Roman" w:eastAsia="Times New Roman" w:hAnsi="Times New Roman"/>
                <w:sz w:val="21"/>
                <w:szCs w:val="21"/>
                <w:color w:val="auto"/>
              </w:rPr>
              <w:t xml:space="preserve">2.3 </w:t>
            </w:r>
            <w:r>
              <w:rPr>
                <w:rFonts w:ascii="宋体" w:cs="宋体" w:eastAsia="宋体" w:hAnsi="宋体"/>
                <w:sz w:val="21"/>
                <w:szCs w:val="21"/>
                <w:color w:val="auto"/>
              </w:rPr>
              <w:t>年随访</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21/507 = 4.14%</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54/405 = 13.3%</w:t>
            </w:r>
          </w:p>
        </w:tc>
        <w:tc>
          <w:tcPr>
            <w:tcW w:w="206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0.31 (0.19, 0.51)</w:t>
            </w:r>
          </w:p>
        </w:tc>
        <w:tc>
          <w:tcPr>
            <w:tcW w:w="0" w:type="dxa"/>
            <w:vAlign w:val="bottom"/>
          </w:tcPr>
          <w:p>
            <w:pPr>
              <w:spacing w:after="0"/>
              <w:rPr>
                <w:sz w:val="1"/>
                <w:szCs w:val="1"/>
                <w:color w:val="auto"/>
              </w:rPr>
            </w:pPr>
          </w:p>
        </w:tc>
      </w:tr>
      <w:tr>
        <w:trPr>
          <w:trHeight w:val="274"/>
        </w:trPr>
        <w:tc>
          <w:tcPr>
            <w:tcW w:w="20" w:type="dxa"/>
            <w:vAlign w:val="bottom"/>
          </w:tcPr>
          <w:p>
            <w:pPr>
              <w:spacing w:after="0"/>
              <w:rPr>
                <w:sz w:val="23"/>
                <w:szCs w:val="23"/>
                <w:color w:val="auto"/>
              </w:rPr>
            </w:pPr>
          </w:p>
        </w:tc>
        <w:tc>
          <w:tcPr>
            <w:tcW w:w="900" w:type="dxa"/>
            <w:vAlign w:val="bottom"/>
          </w:tcPr>
          <w:p>
            <w:pPr>
              <w:spacing w:after="0"/>
              <w:rPr>
                <w:sz w:val="20"/>
                <w:szCs w:val="20"/>
                <w:color w:val="auto"/>
              </w:rPr>
            </w:pPr>
            <w:r>
              <w:rPr>
                <w:rFonts w:ascii="Times New Roman" w:cs="Times New Roman" w:eastAsia="Times New Roman" w:hAnsi="Times New Roman"/>
                <w:sz w:val="21"/>
                <w:szCs w:val="21"/>
                <w:color w:val="auto"/>
              </w:rPr>
              <w:t>CAFA</w:t>
            </w:r>
          </w:p>
        </w:tc>
        <w:tc>
          <w:tcPr>
            <w:tcW w:w="1940" w:type="dxa"/>
            <w:vAlign w:val="bottom"/>
          </w:tcPr>
          <w:p>
            <w:pPr>
              <w:ind w:left="100"/>
              <w:spacing w:after="0" w:line="256" w:lineRule="exact"/>
              <w:rPr>
                <w:sz w:val="20"/>
                <w:szCs w:val="20"/>
                <w:color w:val="auto"/>
              </w:rPr>
            </w:pPr>
            <w:r>
              <w:rPr>
                <w:rFonts w:ascii="宋体" w:cs="宋体" w:eastAsia="宋体" w:hAnsi="宋体"/>
                <w:sz w:val="21"/>
                <w:szCs w:val="21"/>
                <w:color w:val="auto"/>
              </w:rPr>
              <w:t>双盲，</w:t>
            </w:r>
            <w:r>
              <w:rPr>
                <w:rFonts w:ascii="Times New Roman" w:cs="Times New Roman" w:eastAsia="Times New Roman" w:hAnsi="Times New Roman"/>
                <w:sz w:val="21"/>
                <w:szCs w:val="21"/>
                <w:color w:val="auto"/>
              </w:rPr>
              <w:t xml:space="preserve">1.3 </w:t>
            </w:r>
            <w:r>
              <w:rPr>
                <w:rFonts w:ascii="宋体" w:cs="宋体" w:eastAsia="宋体" w:hAnsi="宋体"/>
                <w:sz w:val="21"/>
                <w:szCs w:val="21"/>
                <w:color w:val="auto"/>
              </w:rPr>
              <w:t>年随访</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rPr>
              <w:t>7/237 = 2.95%</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11/241 = 4.56%</w:t>
            </w:r>
          </w:p>
        </w:tc>
        <w:tc>
          <w:tcPr>
            <w:tcW w:w="206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0.65 (0.26, 1.64)</w:t>
            </w:r>
          </w:p>
        </w:tc>
        <w:tc>
          <w:tcPr>
            <w:tcW w:w="0" w:type="dxa"/>
            <w:vAlign w:val="bottom"/>
          </w:tcPr>
          <w:p>
            <w:pPr>
              <w:spacing w:after="0"/>
              <w:rPr>
                <w:sz w:val="1"/>
                <w:szCs w:val="1"/>
                <w:color w:val="auto"/>
              </w:rPr>
            </w:pPr>
          </w:p>
        </w:tc>
      </w:tr>
      <w:tr>
        <w:trPr>
          <w:trHeight w:val="274"/>
        </w:trPr>
        <w:tc>
          <w:tcPr>
            <w:tcW w:w="20" w:type="dxa"/>
            <w:vAlign w:val="bottom"/>
          </w:tcPr>
          <w:p>
            <w:pPr>
              <w:spacing w:after="0"/>
              <w:rPr>
                <w:sz w:val="23"/>
                <w:szCs w:val="23"/>
                <w:color w:val="auto"/>
              </w:rPr>
            </w:pPr>
          </w:p>
        </w:tc>
        <w:tc>
          <w:tcPr>
            <w:tcW w:w="900" w:type="dxa"/>
            <w:vAlign w:val="bottom"/>
          </w:tcPr>
          <w:p>
            <w:pPr>
              <w:spacing w:after="0"/>
              <w:rPr>
                <w:sz w:val="20"/>
                <w:szCs w:val="20"/>
                <w:color w:val="auto"/>
              </w:rPr>
            </w:pPr>
            <w:r>
              <w:rPr>
                <w:rFonts w:ascii="Times New Roman" w:cs="Times New Roman" w:eastAsia="Times New Roman" w:hAnsi="Times New Roman"/>
                <w:sz w:val="21"/>
                <w:szCs w:val="21"/>
                <w:color w:val="auto"/>
              </w:rPr>
              <w:t>SPAFI</w:t>
            </w:r>
          </w:p>
        </w:tc>
        <w:tc>
          <w:tcPr>
            <w:tcW w:w="1940" w:type="dxa"/>
            <w:vAlign w:val="bottom"/>
          </w:tcPr>
          <w:p>
            <w:pPr>
              <w:ind w:left="100"/>
              <w:spacing w:after="0" w:line="256" w:lineRule="exact"/>
              <w:rPr>
                <w:sz w:val="20"/>
                <w:szCs w:val="20"/>
                <w:color w:val="auto"/>
              </w:rPr>
            </w:pPr>
            <w:r>
              <w:rPr>
                <w:rFonts w:ascii="宋体" w:cs="宋体" w:eastAsia="宋体" w:hAnsi="宋体"/>
                <w:sz w:val="21"/>
                <w:szCs w:val="21"/>
                <w:color w:val="auto"/>
              </w:rPr>
              <w:t>开放，</w:t>
            </w:r>
            <w:r>
              <w:rPr>
                <w:rFonts w:ascii="Times New Roman" w:cs="Times New Roman" w:eastAsia="Times New Roman" w:hAnsi="Times New Roman"/>
                <w:sz w:val="21"/>
                <w:szCs w:val="21"/>
                <w:color w:val="auto"/>
              </w:rPr>
              <w:t xml:space="preserve">1.3 </w:t>
            </w:r>
            <w:r>
              <w:rPr>
                <w:rFonts w:ascii="宋体" w:cs="宋体" w:eastAsia="宋体" w:hAnsi="宋体"/>
                <w:sz w:val="21"/>
                <w:szCs w:val="21"/>
                <w:color w:val="auto"/>
              </w:rPr>
              <w:t>年随访</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rPr>
              <w:t>8/260 = 3.08%</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20/244 = 8.20%</w:t>
            </w:r>
          </w:p>
        </w:tc>
        <w:tc>
          <w:tcPr>
            <w:tcW w:w="206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0.38 (0.17, 0.84)</w:t>
            </w:r>
          </w:p>
        </w:tc>
        <w:tc>
          <w:tcPr>
            <w:tcW w:w="0" w:type="dxa"/>
            <w:vAlign w:val="bottom"/>
          </w:tcPr>
          <w:p>
            <w:pPr>
              <w:spacing w:after="0"/>
              <w:rPr>
                <w:sz w:val="1"/>
                <w:szCs w:val="1"/>
                <w:color w:val="auto"/>
              </w:rPr>
            </w:pPr>
          </w:p>
        </w:tc>
      </w:tr>
      <w:tr>
        <w:trPr>
          <w:trHeight w:val="269"/>
        </w:trPr>
        <w:tc>
          <w:tcPr>
            <w:tcW w:w="20" w:type="dxa"/>
            <w:vAlign w:val="bottom"/>
          </w:tcPr>
          <w:p>
            <w:pPr>
              <w:spacing w:after="0"/>
              <w:rPr>
                <w:sz w:val="23"/>
                <w:szCs w:val="23"/>
                <w:color w:val="auto"/>
              </w:rPr>
            </w:pPr>
          </w:p>
        </w:tc>
        <w:tc>
          <w:tcPr>
            <w:tcW w:w="900" w:type="dxa"/>
            <w:vAlign w:val="bottom"/>
          </w:tcPr>
          <w:p>
            <w:pPr>
              <w:spacing w:after="0"/>
              <w:rPr>
                <w:sz w:val="20"/>
                <w:szCs w:val="20"/>
                <w:color w:val="auto"/>
              </w:rPr>
            </w:pPr>
            <w:r>
              <w:rPr>
                <w:rFonts w:ascii="Times New Roman" w:cs="Times New Roman" w:eastAsia="Times New Roman" w:hAnsi="Times New Roman"/>
                <w:sz w:val="21"/>
                <w:szCs w:val="21"/>
                <w:color w:val="auto"/>
              </w:rPr>
              <w:t>SPINAF</w:t>
            </w:r>
          </w:p>
        </w:tc>
        <w:tc>
          <w:tcPr>
            <w:tcW w:w="1940" w:type="dxa"/>
            <w:vAlign w:val="bottom"/>
          </w:tcPr>
          <w:p>
            <w:pPr>
              <w:ind w:left="100"/>
              <w:spacing w:after="0" w:line="256" w:lineRule="exact"/>
              <w:rPr>
                <w:sz w:val="20"/>
                <w:szCs w:val="20"/>
                <w:color w:val="auto"/>
              </w:rPr>
            </w:pPr>
            <w:r>
              <w:rPr>
                <w:rFonts w:ascii="宋体" w:cs="宋体" w:eastAsia="宋体" w:hAnsi="宋体"/>
                <w:sz w:val="21"/>
                <w:szCs w:val="21"/>
                <w:color w:val="auto"/>
              </w:rPr>
              <w:t>双盲，</w:t>
            </w:r>
            <w:r>
              <w:rPr>
                <w:rFonts w:ascii="Times New Roman" w:cs="Times New Roman" w:eastAsia="Times New Roman" w:hAnsi="Times New Roman"/>
                <w:sz w:val="21"/>
                <w:szCs w:val="21"/>
                <w:color w:val="auto"/>
              </w:rPr>
              <w:t xml:space="preserve">1.7 </w:t>
            </w:r>
            <w:r>
              <w:rPr>
                <w:rFonts w:ascii="宋体" w:cs="宋体" w:eastAsia="宋体" w:hAnsi="宋体"/>
                <w:sz w:val="21"/>
                <w:szCs w:val="21"/>
                <w:color w:val="auto"/>
              </w:rPr>
              <w:t>年随访</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rPr>
              <w:t>9/489 = 1.84%</w:t>
            </w:r>
          </w:p>
        </w:tc>
        <w:tc>
          <w:tcPr>
            <w:tcW w:w="170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24/483 = 4.97%</w:t>
            </w:r>
          </w:p>
        </w:tc>
        <w:tc>
          <w:tcPr>
            <w:tcW w:w="206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0.37 (0.17, 0.79)</w:t>
            </w:r>
          </w:p>
        </w:tc>
        <w:tc>
          <w:tcPr>
            <w:tcW w:w="0" w:type="dxa"/>
            <w:vAlign w:val="bottom"/>
          </w:tcPr>
          <w:p>
            <w:pPr>
              <w:spacing w:after="0"/>
              <w:rPr>
                <w:sz w:val="1"/>
                <w:szCs w:val="1"/>
                <w:color w:val="auto"/>
              </w:rPr>
            </w:pPr>
          </w:p>
        </w:tc>
      </w:tr>
      <w:tr>
        <w:trPr>
          <w:trHeight w:val="32"/>
        </w:trPr>
        <w:tc>
          <w:tcPr>
            <w:tcW w:w="20" w:type="dxa"/>
            <w:vAlign w:val="bottom"/>
            <w:tcBorders>
              <w:bottom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1940" w:type="dxa"/>
            <w:vAlign w:val="bottom"/>
            <w:tcBorders>
              <w:bottom w:val="single" w:sz="8" w:color="auto"/>
            </w:tcBorders>
          </w:tcPr>
          <w:p>
            <w:pPr>
              <w:spacing w:after="0"/>
              <w:rPr>
                <w:sz w:val="2"/>
                <w:szCs w:val="2"/>
                <w:color w:val="auto"/>
              </w:rPr>
            </w:pPr>
          </w:p>
        </w:tc>
        <w:tc>
          <w:tcPr>
            <w:tcW w:w="1700" w:type="dxa"/>
            <w:vAlign w:val="bottom"/>
            <w:tcBorders>
              <w:bottom w:val="single" w:sz="8" w:color="auto"/>
            </w:tcBorders>
          </w:tcPr>
          <w:p>
            <w:pPr>
              <w:spacing w:after="0"/>
              <w:rPr>
                <w:sz w:val="2"/>
                <w:szCs w:val="2"/>
                <w:color w:val="auto"/>
              </w:rPr>
            </w:pPr>
          </w:p>
        </w:tc>
        <w:tc>
          <w:tcPr>
            <w:tcW w:w="1700" w:type="dxa"/>
            <w:vAlign w:val="bottom"/>
            <w:tcBorders>
              <w:bottom w:val="single" w:sz="8" w:color="auto"/>
            </w:tcBorders>
          </w:tcPr>
          <w:p>
            <w:pPr>
              <w:spacing w:after="0"/>
              <w:rPr>
                <w:sz w:val="2"/>
                <w:szCs w:val="2"/>
                <w:color w:val="auto"/>
              </w:rPr>
            </w:pPr>
          </w:p>
        </w:tc>
        <w:tc>
          <w:tcPr>
            <w:tcW w:w="206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352" w:lineRule="exact"/>
        <w:rPr>
          <w:sz w:val="20"/>
          <w:szCs w:val="20"/>
          <w:color w:val="auto"/>
        </w:rPr>
      </w:pPr>
    </w:p>
    <w:p>
      <w:pPr>
        <w:ind w:left="1000"/>
        <w:spacing w:after="0" w:line="390" w:lineRule="exact"/>
        <w:rPr>
          <w:sz w:val="20"/>
          <w:szCs w:val="20"/>
          <w:color w:val="auto"/>
        </w:rPr>
      </w:pPr>
      <w:r>
        <w:rPr>
          <w:rFonts w:ascii="宋体" w:cs="宋体" w:eastAsia="宋体" w:hAnsi="宋体"/>
          <w:sz w:val="32"/>
          <w:szCs w:val="32"/>
          <w:color w:val="auto"/>
        </w:rPr>
        <w:t>将上述六项试验结果合并进行固定效应</w:t>
      </w:r>
      <w:r>
        <w:rPr>
          <w:rFonts w:ascii="Times New Roman" w:cs="Times New Roman" w:eastAsia="Times New Roman" w:hAnsi="Times New Roman"/>
          <w:sz w:val="32"/>
          <w:szCs w:val="32"/>
          <w:color w:val="auto"/>
        </w:rPr>
        <w:t xml:space="preserve"> meta </w:t>
      </w:r>
      <w:r>
        <w:rPr>
          <w:rFonts w:ascii="宋体" w:cs="宋体" w:eastAsia="宋体" w:hAnsi="宋体"/>
          <w:sz w:val="32"/>
          <w:szCs w:val="32"/>
          <w:color w:val="auto"/>
        </w:rPr>
        <w:t>分析，华</w:t>
      </w:r>
    </w:p>
    <w:p>
      <w:pPr>
        <w:spacing w:after="0" w:line="247" w:lineRule="exact"/>
        <w:rPr>
          <w:sz w:val="20"/>
          <w:szCs w:val="20"/>
          <w:color w:val="auto"/>
        </w:rPr>
      </w:pPr>
    </w:p>
    <w:p>
      <w:pPr>
        <w:ind w:left="360"/>
        <w:spacing w:after="0" w:line="378" w:lineRule="exact"/>
        <w:rPr>
          <w:sz w:val="20"/>
          <w:szCs w:val="20"/>
          <w:color w:val="auto"/>
        </w:rPr>
      </w:pPr>
      <w:r>
        <w:rPr>
          <w:rFonts w:ascii="宋体" w:cs="宋体" w:eastAsia="宋体" w:hAnsi="宋体"/>
          <w:sz w:val="31"/>
          <w:szCs w:val="31"/>
          <w:color w:val="auto"/>
        </w:rPr>
        <w:t>法林相对于安慰剂的相对风险点估计值为</w:t>
      </w:r>
      <w:r>
        <w:rPr>
          <w:rFonts w:ascii="Times New Roman" w:cs="Times New Roman" w:eastAsia="Times New Roman" w:hAnsi="Times New Roman"/>
          <w:sz w:val="31"/>
          <w:szCs w:val="31"/>
          <w:color w:val="auto"/>
        </w:rPr>
        <w:t xml:space="preserve"> 0.361</w:t>
      </w:r>
      <w:r>
        <w:rPr>
          <w:rFonts w:ascii="宋体" w:cs="宋体" w:eastAsia="宋体" w:hAnsi="宋体"/>
          <w:sz w:val="31"/>
          <w:szCs w:val="31"/>
          <w:color w:val="auto"/>
        </w:rPr>
        <w:t>，</w:t>
      </w:r>
      <w:r>
        <w:rPr>
          <w:rFonts w:ascii="Times New Roman" w:cs="Times New Roman" w:eastAsia="Times New Roman" w:hAnsi="Times New Roman"/>
          <w:sz w:val="31"/>
          <w:szCs w:val="31"/>
          <w:color w:val="auto"/>
        </w:rPr>
        <w:t>95%</w:t>
      </w:r>
      <w:r>
        <w:rPr>
          <w:rFonts w:ascii="宋体" w:cs="宋体" w:eastAsia="宋体" w:hAnsi="宋体"/>
          <w:sz w:val="31"/>
          <w:szCs w:val="31"/>
          <w:color w:val="auto"/>
        </w:rPr>
        <w:t>置信区</w:t>
      </w:r>
    </w:p>
    <w:p>
      <w:pPr>
        <w:spacing w:after="0" w:line="247" w:lineRule="exact"/>
        <w:rPr>
          <w:sz w:val="20"/>
          <w:szCs w:val="20"/>
          <w:color w:val="auto"/>
        </w:rPr>
      </w:pPr>
    </w:p>
    <w:p>
      <w:pPr>
        <w:ind w:left="360"/>
        <w:spacing w:after="0" w:line="378" w:lineRule="exact"/>
        <w:rPr>
          <w:sz w:val="20"/>
          <w:szCs w:val="20"/>
          <w:color w:val="auto"/>
        </w:rPr>
      </w:pPr>
      <w:r>
        <w:rPr>
          <w:rFonts w:ascii="宋体" w:cs="宋体" w:eastAsia="宋体" w:hAnsi="宋体"/>
          <w:sz w:val="31"/>
          <w:szCs w:val="31"/>
          <w:color w:val="auto"/>
        </w:rPr>
        <w:t>间（</w:t>
      </w:r>
      <w:r>
        <w:rPr>
          <w:rFonts w:ascii="Times New Roman" w:cs="Times New Roman" w:eastAsia="Times New Roman" w:hAnsi="Times New Roman"/>
          <w:sz w:val="31"/>
          <w:szCs w:val="31"/>
          <w:i w:val="1"/>
          <w:iCs w:val="1"/>
          <w:color w:val="auto"/>
        </w:rPr>
        <w:t>CI</w:t>
      </w:r>
      <w:r>
        <w:rPr>
          <w:rFonts w:ascii="宋体" w:cs="宋体" w:eastAsia="宋体" w:hAnsi="宋体"/>
          <w:sz w:val="31"/>
          <w:szCs w:val="31"/>
          <w:color w:val="auto"/>
        </w:rPr>
        <w:t>）为（</w:t>
      </w:r>
      <w:r>
        <w:rPr>
          <w:rFonts w:ascii="Times New Roman" w:cs="Times New Roman" w:eastAsia="Times New Roman" w:hAnsi="Times New Roman"/>
          <w:sz w:val="31"/>
          <w:szCs w:val="31"/>
          <w:color w:val="auto"/>
        </w:rPr>
        <w:t>0.267</w:t>
      </w:r>
      <w:r>
        <w:rPr>
          <w:rFonts w:ascii="宋体" w:cs="宋体" w:eastAsia="宋体" w:hAnsi="宋体"/>
          <w:sz w:val="31"/>
          <w:szCs w:val="31"/>
          <w:color w:val="auto"/>
        </w:rPr>
        <w:t>，</w:t>
      </w:r>
      <w:r>
        <w:rPr>
          <w:rFonts w:ascii="Times New Roman" w:cs="Times New Roman" w:eastAsia="Times New Roman" w:hAnsi="Times New Roman"/>
          <w:sz w:val="31"/>
          <w:szCs w:val="31"/>
          <w:color w:val="auto"/>
        </w:rPr>
        <w:t>0.489</w:t>
      </w:r>
      <w:r>
        <w:rPr>
          <w:rFonts w:ascii="宋体" w:cs="宋体" w:eastAsia="宋体" w:hAnsi="宋体"/>
          <w:sz w:val="31"/>
          <w:szCs w:val="31"/>
          <w:color w:val="auto"/>
        </w:rPr>
        <w:t>）。由于该主要评价指标为低优指</w:t>
      </w:r>
    </w:p>
    <w:p>
      <w:pPr>
        <w:spacing w:after="0" w:line="235"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标，因此，</w:t>
      </w:r>
      <w:r>
        <w:rPr>
          <w:rFonts w:ascii="Times New Roman" w:cs="Times New Roman" w:eastAsia="Times New Roman" w:hAnsi="Times New Roman"/>
          <w:sz w:val="32"/>
          <w:szCs w:val="32"/>
          <w:i w:val="1"/>
          <w:iCs w:val="1"/>
          <w:color w:val="auto"/>
        </w:rPr>
        <w:t>M</w:t>
      </w:r>
      <w:r>
        <w:rPr>
          <w:rFonts w:ascii="Times New Roman" w:cs="Times New Roman" w:eastAsia="Times New Roman" w:hAnsi="Times New Roman"/>
          <w:sz w:val="21"/>
          <w:szCs w:val="21"/>
          <w:color w:val="auto"/>
        </w:rPr>
        <w:t>1</w:t>
      </w:r>
      <w:r>
        <w:rPr>
          <w:rFonts w:ascii="Times New Roman" w:cs="Times New Roman" w:eastAsia="Times New Roman" w:hAnsi="Times New Roman"/>
          <w:sz w:val="32"/>
          <w:szCs w:val="32"/>
          <w:i w:val="1"/>
          <w:iCs w:val="1"/>
          <w:color w:val="auto"/>
        </w:rPr>
        <w:t xml:space="preserve"> </w:t>
      </w:r>
      <w:r>
        <w:rPr>
          <w:rFonts w:ascii="宋体" w:cs="宋体" w:eastAsia="宋体" w:hAnsi="宋体"/>
          <w:sz w:val="32"/>
          <w:szCs w:val="32"/>
          <w:color w:val="auto"/>
        </w:rPr>
        <w:t>为</w:t>
      </w:r>
      <w:r>
        <w:rPr>
          <w:rFonts w:ascii="Times New Roman" w:cs="Times New Roman" w:eastAsia="Times New Roman" w:hAnsi="Times New Roman"/>
          <w:sz w:val="32"/>
          <w:szCs w:val="32"/>
          <w:i w:val="1"/>
          <w:iCs w:val="1"/>
          <w:color w:val="auto"/>
        </w:rPr>
        <w:t xml:space="preserve"> </w:t>
      </w:r>
      <w:r>
        <w:rPr>
          <w:rFonts w:ascii="Times New Roman" w:cs="Times New Roman" w:eastAsia="Times New Roman" w:hAnsi="Times New Roman"/>
          <w:sz w:val="32"/>
          <w:szCs w:val="32"/>
          <w:color w:val="auto"/>
        </w:rPr>
        <w:t>95%</w:t>
      </w:r>
      <w:r>
        <w:rPr>
          <w:rFonts w:ascii="Times New Roman" w:cs="Times New Roman" w:eastAsia="Times New Roman" w:hAnsi="Times New Roman"/>
          <w:sz w:val="32"/>
          <w:szCs w:val="32"/>
          <w:i w:val="1"/>
          <w:iCs w:val="1"/>
          <w:color w:val="auto"/>
        </w:rPr>
        <w:t xml:space="preserve"> CI </w:t>
      </w:r>
      <w:r>
        <w:rPr>
          <w:rFonts w:ascii="宋体" w:cs="宋体" w:eastAsia="宋体" w:hAnsi="宋体"/>
          <w:sz w:val="32"/>
          <w:szCs w:val="32"/>
          <w:color w:val="auto"/>
        </w:rPr>
        <w:t>上限的倒数，即</w:t>
      </w:r>
      <w:r>
        <w:rPr>
          <w:rFonts w:ascii="Times New Roman" w:cs="Times New Roman" w:eastAsia="Times New Roman" w:hAnsi="Times New Roman"/>
          <w:sz w:val="32"/>
          <w:szCs w:val="32"/>
          <w:i w:val="1"/>
          <w:iCs w:val="1"/>
          <w:color w:val="auto"/>
        </w:rPr>
        <w:t xml:space="preserve"> </w:t>
      </w:r>
      <w:r>
        <w:rPr>
          <w:rFonts w:ascii="Times New Roman" w:cs="Times New Roman" w:eastAsia="Times New Roman" w:hAnsi="Times New Roman"/>
          <w:sz w:val="32"/>
          <w:szCs w:val="32"/>
          <w:color w:val="auto"/>
        </w:rPr>
        <w:t>1/0.489=2.04</w:t>
      </w:r>
      <w:r>
        <w:rPr>
          <w:rFonts w:ascii="宋体" w:cs="宋体" w:eastAsia="宋体" w:hAnsi="宋体"/>
          <w:sz w:val="32"/>
          <w:szCs w:val="32"/>
          <w:color w:val="auto"/>
        </w:rPr>
        <w:t>。</w:t>
      </w:r>
    </w:p>
    <w:p>
      <w:pPr>
        <w:spacing w:after="0" w:line="230"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本项非劣效试验的主要目的是证明希美加群保留了华</w:t>
      </w:r>
    </w:p>
    <w:p>
      <w:pPr>
        <w:spacing w:after="0" w:line="259" w:lineRule="exact"/>
        <w:rPr>
          <w:sz w:val="20"/>
          <w:szCs w:val="20"/>
          <w:color w:val="auto"/>
        </w:rPr>
      </w:pPr>
    </w:p>
    <w:p>
      <w:pPr>
        <w:jc w:val="center"/>
        <w:ind w:right="-15"/>
        <w:spacing w:after="0" w:line="390" w:lineRule="exact"/>
        <w:rPr>
          <w:sz w:val="20"/>
          <w:szCs w:val="20"/>
          <w:color w:val="auto"/>
        </w:rPr>
      </w:pPr>
      <w:r>
        <w:rPr>
          <w:rFonts w:ascii="宋体" w:cs="宋体" w:eastAsia="宋体" w:hAnsi="宋体"/>
          <w:sz w:val="32"/>
          <w:szCs w:val="32"/>
          <w:color w:val="auto"/>
        </w:rPr>
        <w:t>法林相当大一部分疗效，因此</w:t>
      </w:r>
      <w:r>
        <w:rPr>
          <w:rFonts w:ascii="Times New Roman" w:cs="Times New Roman" w:eastAsia="Times New Roman" w:hAnsi="Times New Roman"/>
          <w:sz w:val="32"/>
          <w:szCs w:val="32"/>
          <w:i w:val="1"/>
          <w:iCs w:val="1"/>
          <w:color w:val="auto"/>
        </w:rPr>
        <w:t xml:space="preserve"> f </w:t>
      </w:r>
      <w:r>
        <w:rPr>
          <w:rFonts w:ascii="宋体" w:cs="宋体" w:eastAsia="宋体" w:hAnsi="宋体"/>
          <w:sz w:val="32"/>
          <w:szCs w:val="32"/>
          <w:color w:val="auto"/>
        </w:rPr>
        <w:t>至少为</w:t>
      </w:r>
      <w:r>
        <w:rPr>
          <w:rFonts w:ascii="Times New Roman" w:cs="Times New Roman" w:eastAsia="Times New Roman" w:hAnsi="Times New Roman"/>
          <w:sz w:val="32"/>
          <w:szCs w:val="32"/>
          <w:i w:val="1"/>
          <w:iCs w:val="1"/>
          <w:color w:val="auto"/>
        </w:rPr>
        <w:t xml:space="preserve"> </w:t>
      </w:r>
      <w:r>
        <w:rPr>
          <w:rFonts w:ascii="Times New Roman" w:cs="Times New Roman" w:eastAsia="Times New Roman" w:hAnsi="Times New Roman"/>
          <w:sz w:val="32"/>
          <w:szCs w:val="32"/>
          <w:color w:val="auto"/>
        </w:rPr>
        <w:t>50%</w:t>
      </w:r>
      <w:r>
        <w:rPr>
          <w:rFonts w:ascii="宋体" w:cs="宋体" w:eastAsia="宋体" w:hAnsi="宋体"/>
          <w:sz w:val="32"/>
          <w:szCs w:val="32"/>
          <w:color w:val="auto"/>
        </w:rPr>
        <w:t>，则代表在对数</w:t>
      </w: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255" w:lineRule="exact"/>
        <w:rPr>
          <w:sz w:val="20"/>
          <w:szCs w:val="20"/>
          <w:color w:val="auto"/>
        </w:rPr>
      </w:pPr>
    </w:p>
    <w:p>
      <w:pPr>
        <w:jc w:val="center"/>
        <w:ind w:right="4"/>
        <w:spacing w:after="0"/>
        <w:rPr>
          <w:sz w:val="20"/>
          <w:szCs w:val="20"/>
          <w:color w:val="auto"/>
        </w:rPr>
      </w:pPr>
      <w:r>
        <w:rPr>
          <w:rFonts w:ascii="Calibri" w:cs="Calibri" w:eastAsia="Calibri" w:hAnsi="Calibri"/>
          <w:sz w:val="17"/>
          <w:szCs w:val="17"/>
          <w:color w:val="auto"/>
        </w:rPr>
        <w:t>13</w:t>
      </w:r>
    </w:p>
    <w:p>
      <w:pPr>
        <w:sectPr>
          <w:pgSz w:w="11900" w:h="16838" w:orient="portrait"/>
          <w:cols w:equalWidth="0" w:num="1">
            <w:col w:w="9024"/>
          </w:cols>
          <w:pgMar w:left="1440" w:top="1440" w:right="1440" w:bottom="433" w:gutter="0" w:footer="0" w:header="0"/>
          <w:type w:val="continuous"/>
        </w:sectPr>
      </w:pPr>
    </w:p>
    <w:bookmarkStart w:id="15" w:name="page16"/>
    <w:bookmarkEnd w:id="15"/>
    <w:p>
      <w:pPr>
        <w:ind w:left="360" w:right="364"/>
        <w:spacing w:after="0" w:line="1174" w:lineRule="exact"/>
        <w:rPr>
          <w:sz w:val="20"/>
          <w:szCs w:val="20"/>
          <w:color w:val="auto"/>
        </w:rPr>
      </w:pPr>
      <w:r>
        <w:rPr>
          <w:rFonts w:ascii="宋体" w:cs="宋体" w:eastAsia="宋体" w:hAnsi="宋体"/>
          <w:sz w:val="19"/>
          <w:szCs w:val="19"/>
          <w:color w:val="auto"/>
        </w:rPr>
        <w:t>风险尺度上最大可接受的非劣效水平为</w:t>
      </w:r>
      <w:r>
        <w:rPr>
          <w:rFonts w:ascii="Cambria Math" w:cs="Cambria Math" w:eastAsia="Cambria Math" w:hAnsi="Cambria Math"/>
          <w:sz w:val="19"/>
          <w:szCs w:val="19"/>
          <w:color w:val="auto"/>
        </w:rPr>
        <w:t xml:space="preserve">(1 − 50%)ln( </w:t>
      </w:r>
      <w:r>
        <w:rPr>
          <w:rFonts w:ascii="Cambria Math" w:cs="Cambria Math" w:eastAsia="Cambria Math" w:hAnsi="Cambria Math"/>
          <w:sz w:val="27"/>
          <w:szCs w:val="27"/>
          <w:color w:val="auto"/>
          <w:vertAlign w:val="subscript"/>
        </w:rPr>
        <w:t>1</w:t>
      </w:r>
      <w:r>
        <w:rPr>
          <w:rFonts w:ascii="Cambria Math" w:cs="Cambria Math" w:eastAsia="Cambria Math" w:hAnsi="Cambria Math"/>
          <w:sz w:val="19"/>
          <w:szCs w:val="19"/>
          <w:color w:val="auto"/>
        </w:rPr>
        <w:t>)</w:t>
      </w:r>
      <w:r>
        <w:rPr>
          <w:rFonts w:ascii="宋体" w:cs="宋体" w:eastAsia="宋体" w:hAnsi="宋体"/>
          <w:sz w:val="19"/>
          <w:szCs w:val="19"/>
          <w:color w:val="auto"/>
        </w:rPr>
        <w:t>，根据公式进行指数变换计算出</w:t>
      </w:r>
      <w:r>
        <w:rPr>
          <w:rFonts w:ascii="Times New Roman" w:cs="Times New Roman" w:eastAsia="Times New Roman" w:hAnsi="Times New Roman"/>
          <w:sz w:val="19"/>
          <w:szCs w:val="19"/>
          <w:i w:val="1"/>
          <w:iCs w:val="1"/>
          <w:color w:val="auto"/>
        </w:rPr>
        <w:t xml:space="preserve"> M</w:t>
      </w:r>
      <w:r>
        <w:rPr>
          <w:rFonts w:ascii="Times New Roman" w:cs="Times New Roman" w:eastAsia="Times New Roman" w:hAnsi="Times New Roman"/>
          <w:sz w:val="12"/>
          <w:szCs w:val="12"/>
          <w:color w:val="auto"/>
        </w:rPr>
        <w:t>2</w:t>
      </w:r>
      <w:r>
        <w:rPr>
          <w:rFonts w:ascii="Times New Roman" w:cs="Times New Roman" w:eastAsia="Times New Roman" w:hAnsi="Times New Roman"/>
          <w:sz w:val="19"/>
          <w:szCs w:val="19"/>
          <w:i w:val="1"/>
          <w:iCs w:val="1"/>
          <w:color w:val="auto"/>
        </w:rPr>
        <w:t xml:space="preserve"> </w:t>
      </w:r>
      <w:r>
        <w:rPr>
          <w:rFonts w:ascii="宋体" w:cs="宋体" w:eastAsia="宋体" w:hAnsi="宋体"/>
          <w:sz w:val="19"/>
          <w:szCs w:val="19"/>
          <w:color w:val="auto"/>
        </w:rPr>
        <w:t>为</w:t>
      </w:r>
      <w:r>
        <w:rPr>
          <w:rFonts w:ascii="Times New Roman" w:cs="Times New Roman" w:eastAsia="Times New Roman" w:hAnsi="Times New Roman"/>
          <w:sz w:val="19"/>
          <w:szCs w:val="19"/>
          <w:i w:val="1"/>
          <w:iCs w:val="1"/>
          <w:color w:val="auto"/>
        </w:rPr>
        <w:t xml:space="preserve"> </w:t>
      </w:r>
      <w:r>
        <w:rPr>
          <w:rFonts w:ascii="Times New Roman" w:cs="Times New Roman" w:eastAsia="Times New Roman" w:hAnsi="Times New Roman"/>
          <w:sz w:val="19"/>
          <w:szCs w:val="19"/>
          <w:color w:val="auto"/>
        </w:rPr>
        <w:t>1.43</w:t>
      </w:r>
      <w:r>
        <w:rPr>
          <w:rFonts w:ascii="宋体" w:cs="宋体" w:eastAsia="宋体" w:hAnsi="宋体"/>
          <w:sz w:val="19"/>
          <w:szCs w:val="19"/>
          <w:color w:val="auto"/>
        </w:rPr>
        <w:t>。</w:t>
      </w:r>
    </w:p>
    <w:p>
      <w:pPr>
        <w:spacing w:after="0" w:line="240" w:lineRule="exact"/>
        <w:rPr>
          <w:sz w:val="20"/>
          <w:szCs w:val="20"/>
          <w:color w:val="auto"/>
        </w:rPr>
      </w:pPr>
    </w:p>
    <w:p>
      <w:pPr>
        <w:ind w:left="1000"/>
        <w:spacing w:after="0" w:line="354" w:lineRule="exact"/>
        <w:rPr>
          <w:sz w:val="20"/>
          <w:szCs w:val="20"/>
          <w:color w:val="auto"/>
        </w:rPr>
      </w:pPr>
      <w:r>
        <w:rPr>
          <w:rFonts w:ascii="宋体" w:cs="宋体" w:eastAsia="宋体" w:hAnsi="宋体"/>
          <w:sz w:val="31"/>
          <w:szCs w:val="31"/>
          <w:color w:val="auto"/>
        </w:rPr>
        <w:t>在希美加群与华法林的非劣效试验中，考虑到试验的主</w:t>
      </w:r>
    </w:p>
    <w:p>
      <w:pPr>
        <w:spacing w:after="0" w:line="270"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要评价指标为低优指标，希美加群相对于华法林的相对风险</w:t>
      </w:r>
    </w:p>
    <w:p>
      <w:pPr>
        <w:spacing w:after="0" w:line="295" w:lineRule="exact"/>
        <w:rPr>
          <w:sz w:val="20"/>
          <w:szCs w:val="20"/>
          <w:color w:val="auto"/>
        </w:rPr>
      </w:pPr>
    </w:p>
    <w:p>
      <w:pPr>
        <w:jc w:val="both"/>
        <w:ind w:left="360" w:right="344" w:firstLine="1"/>
        <w:spacing w:after="0" w:line="525" w:lineRule="exact"/>
        <w:tabs>
          <w:tab w:leader="none" w:pos="773" w:val="left"/>
        </w:tabs>
        <w:numPr>
          <w:ilvl w:val="0"/>
          <w:numId w:val="4"/>
        </w:numPr>
        <w:rPr>
          <w:rFonts w:ascii="宋体" w:cs="宋体" w:eastAsia="宋体" w:hAnsi="宋体"/>
          <w:sz w:val="32"/>
          <w:szCs w:val="32"/>
          <w:color w:val="auto"/>
        </w:rPr>
      </w:pPr>
      <w:r>
        <w:rPr>
          <w:rFonts w:ascii="Times New Roman" w:cs="Times New Roman" w:eastAsia="Times New Roman" w:hAnsi="Times New Roman"/>
          <w:sz w:val="32"/>
          <w:szCs w:val="32"/>
          <w:color w:val="auto"/>
        </w:rPr>
        <w:t>1.39</w:t>
      </w:r>
      <w:r>
        <w:rPr>
          <w:rFonts w:ascii="宋体" w:cs="宋体" w:eastAsia="宋体" w:hAnsi="宋体"/>
          <w:sz w:val="32"/>
          <w:szCs w:val="32"/>
          <w:color w:val="auto"/>
        </w:rPr>
        <w:t>，</w:t>
      </w:r>
      <w:r>
        <w:rPr>
          <w:rFonts w:ascii="Times New Roman" w:cs="Times New Roman" w:eastAsia="Times New Roman" w:hAnsi="Times New Roman"/>
          <w:sz w:val="32"/>
          <w:szCs w:val="32"/>
          <w:color w:val="auto"/>
        </w:rPr>
        <w:t xml:space="preserve">95% </w:t>
      </w:r>
      <w:r>
        <w:rPr>
          <w:rFonts w:ascii="Times New Roman" w:cs="Times New Roman" w:eastAsia="Times New Roman" w:hAnsi="Times New Roman"/>
          <w:sz w:val="32"/>
          <w:szCs w:val="32"/>
          <w:i w:val="1"/>
          <w:iCs w:val="1"/>
          <w:color w:val="auto"/>
        </w:rPr>
        <w:t>CI</w:t>
      </w:r>
      <w:r>
        <w:rPr>
          <w:rFonts w:ascii="Times New Roman" w:cs="Times New Roman" w:eastAsia="Times New Roman" w:hAnsi="Times New Roman"/>
          <w:sz w:val="32"/>
          <w:szCs w:val="32"/>
          <w:color w:val="auto"/>
        </w:rPr>
        <w:t xml:space="preserve"> </w:t>
      </w:r>
      <w:r>
        <w:rPr>
          <w:rFonts w:ascii="宋体" w:cs="宋体" w:eastAsia="宋体" w:hAnsi="宋体"/>
          <w:sz w:val="32"/>
          <w:szCs w:val="32"/>
          <w:color w:val="auto"/>
        </w:rPr>
        <w:t>为（</w:t>
      </w:r>
      <w:r>
        <w:rPr>
          <w:rFonts w:ascii="Times New Roman" w:cs="Times New Roman" w:eastAsia="Times New Roman" w:hAnsi="Times New Roman"/>
          <w:sz w:val="32"/>
          <w:szCs w:val="32"/>
          <w:color w:val="auto"/>
        </w:rPr>
        <w:t>0.91</w:t>
      </w:r>
      <w:r>
        <w:rPr>
          <w:rFonts w:ascii="宋体" w:cs="宋体" w:eastAsia="宋体" w:hAnsi="宋体"/>
          <w:sz w:val="32"/>
          <w:szCs w:val="32"/>
          <w:color w:val="auto"/>
        </w:rPr>
        <w:t>，</w:t>
      </w:r>
      <w:r>
        <w:rPr>
          <w:rFonts w:ascii="Times New Roman" w:cs="Times New Roman" w:eastAsia="Times New Roman" w:hAnsi="Times New Roman"/>
          <w:sz w:val="32"/>
          <w:szCs w:val="32"/>
          <w:color w:val="auto"/>
        </w:rPr>
        <w:t>2.12</w:t>
      </w:r>
      <w:r>
        <w:rPr>
          <w:rFonts w:ascii="宋体" w:cs="宋体" w:eastAsia="宋体" w:hAnsi="宋体"/>
          <w:sz w:val="32"/>
          <w:szCs w:val="32"/>
          <w:color w:val="auto"/>
        </w:rPr>
        <w:t>），其上限大于</w:t>
      </w:r>
      <w:r>
        <w:rPr>
          <w:rFonts w:ascii="Times New Roman" w:cs="Times New Roman" w:eastAsia="Times New Roman" w:hAnsi="Times New Roman"/>
          <w:sz w:val="32"/>
          <w:szCs w:val="32"/>
          <w:color w:val="auto"/>
        </w:rPr>
        <w:t xml:space="preserve"> </w:t>
      </w:r>
      <w:r>
        <w:rPr>
          <w:rFonts w:ascii="Times New Roman" w:cs="Times New Roman" w:eastAsia="Times New Roman" w:hAnsi="Times New Roman"/>
          <w:sz w:val="32"/>
          <w:szCs w:val="32"/>
          <w:i w:val="1"/>
          <w:iCs w:val="1"/>
          <w:color w:val="auto"/>
        </w:rPr>
        <w:t>M</w:t>
      </w:r>
      <w:r>
        <w:rPr>
          <w:rFonts w:ascii="Times New Roman" w:cs="Times New Roman" w:eastAsia="Times New Roman" w:hAnsi="Times New Roman"/>
          <w:sz w:val="21"/>
          <w:szCs w:val="21"/>
          <w:color w:val="auto"/>
        </w:rPr>
        <w:t>2</w:t>
      </w:r>
      <w:r>
        <w:rPr>
          <w:rFonts w:ascii="宋体" w:cs="宋体" w:eastAsia="宋体" w:hAnsi="宋体"/>
          <w:sz w:val="32"/>
          <w:szCs w:val="32"/>
          <w:color w:val="auto"/>
        </w:rPr>
        <w:t>。因此，根据该试验结果尚不能认为希美加群降低风险的作用非劣效于华法林。</w:t>
      </w:r>
    </w:p>
    <w:p>
      <w:pPr>
        <w:spacing w:after="0" w:line="259" w:lineRule="exact"/>
        <w:rPr>
          <w:rFonts w:ascii="宋体" w:cs="宋体" w:eastAsia="宋体" w:hAnsi="宋体"/>
          <w:sz w:val="32"/>
          <w:szCs w:val="32"/>
          <w:color w:val="auto"/>
        </w:rPr>
      </w:pPr>
    </w:p>
    <w:p>
      <w:pPr>
        <w:ind w:left="1000"/>
        <w:spacing w:after="0" w:line="366" w:lineRule="exact"/>
        <w:rPr>
          <w:rFonts w:ascii="宋体" w:cs="宋体" w:eastAsia="宋体" w:hAnsi="宋体"/>
          <w:sz w:val="32"/>
          <w:szCs w:val="32"/>
          <w:color w:val="auto"/>
        </w:rPr>
      </w:pPr>
      <w:r>
        <w:rPr>
          <w:rFonts w:ascii="宋体" w:cs="宋体" w:eastAsia="宋体" w:hAnsi="宋体"/>
          <w:sz w:val="32"/>
          <w:szCs w:val="32"/>
          <w:color w:val="auto"/>
        </w:rPr>
        <w:t>（二）综合法</w:t>
      </w:r>
    </w:p>
    <w:p>
      <w:pPr>
        <w:spacing w:after="0" w:line="305" w:lineRule="exact"/>
        <w:rPr>
          <w:rFonts w:ascii="宋体" w:cs="宋体" w:eastAsia="宋体" w:hAnsi="宋体"/>
          <w:sz w:val="32"/>
          <w:szCs w:val="32"/>
          <w:color w:val="auto"/>
        </w:rPr>
      </w:pPr>
    </w:p>
    <w:p>
      <w:pPr>
        <w:jc w:val="both"/>
        <w:ind w:left="360" w:right="344" w:firstLine="638"/>
        <w:spacing w:after="0" w:line="578" w:lineRule="exact"/>
        <w:rPr>
          <w:rFonts w:ascii="宋体" w:cs="宋体" w:eastAsia="宋体" w:hAnsi="宋体"/>
          <w:sz w:val="32"/>
          <w:szCs w:val="32"/>
          <w:color w:val="auto"/>
        </w:rPr>
      </w:pPr>
      <w:r>
        <w:rPr>
          <w:rFonts w:ascii="宋体" w:cs="宋体" w:eastAsia="宋体" w:hAnsi="宋体"/>
          <w:sz w:val="32"/>
          <w:szCs w:val="32"/>
          <w:color w:val="auto"/>
        </w:rPr>
        <w:t>继续以上述试验为例。综合法比较了当前非劣效试验中希美加群相对于既往华法林与安慰剂的优效试验中安慰剂的疗效，这是一种不基于在当前试验中设置安慰剂组的间接比较。综合法将既往华法林与安慰剂的优效试验的数据与当前希美加群与华法林的非劣效试验的数据合并进行假设检验，证明在非劣效试验中保留了一定比例的华法林相对于安慰剂的疗效。</w:t>
      </w:r>
    </w:p>
    <w:p>
      <w:pPr>
        <w:spacing w:after="0" w:line="309" w:lineRule="exact"/>
        <w:rPr>
          <w:rFonts w:ascii="宋体" w:cs="宋体" w:eastAsia="宋体" w:hAnsi="宋体"/>
          <w:sz w:val="32"/>
          <w:szCs w:val="32"/>
          <w:color w:val="auto"/>
        </w:rPr>
      </w:pPr>
    </w:p>
    <w:p>
      <w:pPr>
        <w:jc w:val="both"/>
        <w:ind w:left="360" w:right="364" w:firstLine="638"/>
        <w:spacing w:after="0" w:line="572" w:lineRule="exact"/>
        <w:rPr>
          <w:rFonts w:ascii="宋体" w:cs="宋体" w:eastAsia="宋体" w:hAnsi="宋体"/>
          <w:sz w:val="32"/>
          <w:szCs w:val="32"/>
          <w:color w:val="auto"/>
        </w:rPr>
      </w:pPr>
      <w:r>
        <w:rPr>
          <w:rFonts w:ascii="宋体" w:cs="宋体" w:eastAsia="宋体" w:hAnsi="宋体"/>
          <w:sz w:val="32"/>
          <w:szCs w:val="32"/>
          <w:color w:val="auto"/>
        </w:rPr>
        <w:t>综合法有别于固定界值法的关键点在于不需要在开展当前非劣效试验之前预先确定华法林相对于安慰剂的疗效（</w:t>
      </w:r>
      <w:r>
        <w:rPr>
          <w:rFonts w:ascii="Times New Roman" w:cs="Times New Roman" w:eastAsia="Times New Roman" w:hAnsi="Times New Roman"/>
          <w:sz w:val="32"/>
          <w:szCs w:val="32"/>
          <w:i w:val="1"/>
          <w:iCs w:val="1"/>
          <w:color w:val="auto"/>
        </w:rPr>
        <w:t>M</w:t>
      </w:r>
      <w:r>
        <w:rPr>
          <w:rFonts w:ascii="Times New Roman" w:cs="Times New Roman" w:eastAsia="Times New Roman" w:hAnsi="Times New Roman"/>
          <w:sz w:val="21"/>
          <w:szCs w:val="21"/>
          <w:color w:val="auto"/>
        </w:rPr>
        <w:t>1</w:t>
      </w:r>
      <w:r>
        <w:rPr>
          <w:rFonts w:ascii="宋体" w:cs="宋体" w:eastAsia="宋体" w:hAnsi="宋体"/>
          <w:sz w:val="32"/>
          <w:szCs w:val="32"/>
          <w:color w:val="auto"/>
        </w:rPr>
        <w:t>）。虽然在当前非劣效试验中并不对华法林与安慰剂进行比较，但其前提假设是，当前非劣效试验中华法林与安慰剂之间的疗效差异（如果有的话）与既往华法林与安慰剂的优效试验所观察到的疗效差异相同。</w:t>
      </w:r>
    </w:p>
    <w:p>
      <w:pPr>
        <w:spacing w:after="0" w:line="269" w:lineRule="exact"/>
        <w:rPr>
          <w:rFonts w:ascii="宋体" w:cs="宋体" w:eastAsia="宋体" w:hAnsi="宋体"/>
          <w:sz w:val="32"/>
          <w:szCs w:val="32"/>
          <w:color w:val="auto"/>
        </w:rPr>
      </w:pPr>
    </w:p>
    <w:p>
      <w:pPr>
        <w:ind w:left="1000"/>
        <w:spacing w:after="0" w:line="354" w:lineRule="exact"/>
        <w:rPr>
          <w:rFonts w:ascii="宋体" w:cs="宋体" w:eastAsia="宋体" w:hAnsi="宋体"/>
          <w:sz w:val="32"/>
          <w:szCs w:val="32"/>
          <w:color w:val="auto"/>
        </w:rPr>
      </w:pPr>
      <w:r>
        <w:rPr>
          <w:rFonts w:ascii="宋体" w:cs="宋体" w:eastAsia="宋体" w:hAnsi="宋体"/>
          <w:sz w:val="31"/>
          <w:szCs w:val="31"/>
          <w:color w:val="auto"/>
        </w:rPr>
        <w:t>在此基础上，综合法在统计上检验原假设，即希美加群</w:t>
      </w:r>
    </w:p>
    <w:p>
      <w:pPr>
        <w:sectPr>
          <w:pgSz w:w="11900" w:h="16838" w:orient="portrait"/>
          <w:cols w:equalWidth="0" w:num="1">
            <w:col w:w="9024"/>
          </w:cols>
          <w:pgMar w:left="1440" w:top="1282" w:right="1440" w:bottom="433"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53" w:lineRule="exact"/>
        <w:rPr>
          <w:sz w:val="20"/>
          <w:szCs w:val="20"/>
          <w:color w:val="auto"/>
        </w:rPr>
      </w:pPr>
    </w:p>
    <w:p>
      <w:pPr>
        <w:jc w:val="center"/>
        <w:ind w:right="4"/>
        <w:spacing w:after="0"/>
        <w:rPr>
          <w:sz w:val="20"/>
          <w:szCs w:val="20"/>
          <w:color w:val="auto"/>
        </w:rPr>
      </w:pPr>
      <w:r>
        <w:rPr>
          <w:rFonts w:ascii="Calibri" w:cs="Calibri" w:eastAsia="Calibri" w:hAnsi="Calibri"/>
          <w:sz w:val="17"/>
          <w:szCs w:val="17"/>
          <w:color w:val="auto"/>
        </w:rPr>
        <w:t>14</w:t>
      </w:r>
    </w:p>
    <w:p>
      <w:pPr>
        <w:sectPr>
          <w:pgSz w:w="11900" w:h="16838" w:orient="portrait"/>
          <w:cols w:equalWidth="0" w:num="1">
            <w:col w:w="9024"/>
          </w:cols>
          <w:pgMar w:left="1440" w:top="1282" w:right="1440" w:bottom="433" w:gutter="0" w:footer="0" w:header="0"/>
          <w:type w:val="continuous"/>
        </w:sectPr>
      </w:pPr>
    </w:p>
    <w:bookmarkStart w:id="16" w:name="page17"/>
    <w:bookmarkEnd w:id="16"/>
    <w:p>
      <w:pPr>
        <w:spacing w:after="0" w:line="12" w:lineRule="exact"/>
        <w:rPr>
          <w:sz w:val="20"/>
          <w:szCs w:val="20"/>
          <w:color w:val="auto"/>
        </w:rPr>
      </w:pPr>
    </w:p>
    <w:p>
      <w:pPr>
        <w:jc w:val="center"/>
        <w:ind w:right="4"/>
        <w:spacing w:after="0" w:line="354" w:lineRule="exact"/>
        <w:rPr>
          <w:sz w:val="20"/>
          <w:szCs w:val="20"/>
          <w:color w:val="auto"/>
        </w:rPr>
      </w:pPr>
      <w:r>
        <w:rPr>
          <w:rFonts w:ascii="宋体" w:cs="宋体" w:eastAsia="宋体" w:hAnsi="宋体"/>
          <w:sz w:val="31"/>
          <w:szCs w:val="31"/>
          <w:color w:val="auto"/>
        </w:rPr>
        <w:t>与华法林相比，其劣效性低于华法林与安慰剂相比风险降低</w:t>
      </w:r>
    </w:p>
    <w:p>
      <w:pPr>
        <w:spacing w:after="0" w:line="271" w:lineRule="exact"/>
        <w:rPr>
          <w:sz w:val="20"/>
          <w:szCs w:val="20"/>
          <w:color w:val="auto"/>
        </w:rPr>
      </w:pPr>
    </w:p>
    <w:p>
      <w:pPr>
        <w:jc w:val="center"/>
        <w:ind w:right="4"/>
        <w:spacing w:after="0" w:line="378" w:lineRule="exact"/>
        <w:rPr>
          <w:sz w:val="20"/>
          <w:szCs w:val="20"/>
          <w:color w:val="auto"/>
        </w:rPr>
      </w:pPr>
      <w:r>
        <w:rPr>
          <w:rFonts w:ascii="宋体" w:cs="宋体" w:eastAsia="宋体" w:hAnsi="宋体"/>
          <w:sz w:val="31"/>
          <w:szCs w:val="31"/>
          <w:color w:val="auto"/>
        </w:rPr>
        <w:t>的一半（即预设</w:t>
      </w:r>
      <w:r>
        <w:rPr>
          <w:rFonts w:ascii="Times New Roman" w:cs="Times New Roman" w:eastAsia="Times New Roman" w:hAnsi="Times New Roman"/>
          <w:sz w:val="31"/>
          <w:szCs w:val="31"/>
          <w:color w:val="auto"/>
        </w:rPr>
        <w:t xml:space="preserve"> 50%</w:t>
      </w:r>
      <w:r>
        <w:rPr>
          <w:rFonts w:ascii="宋体" w:cs="宋体" w:eastAsia="宋体" w:hAnsi="宋体"/>
          <w:sz w:val="31"/>
          <w:szCs w:val="31"/>
          <w:color w:val="auto"/>
        </w:rPr>
        <w:t>）。这是固定界值法不能直接解决的问</w:t>
      </w:r>
    </w:p>
    <w:p>
      <w:pPr>
        <w:spacing w:after="0" w:line="277" w:lineRule="exact"/>
        <w:rPr>
          <w:sz w:val="20"/>
          <w:szCs w:val="20"/>
          <w:color w:val="auto"/>
        </w:rPr>
      </w:pPr>
    </w:p>
    <w:p>
      <w:pPr>
        <w:jc w:val="both"/>
        <w:ind w:left="360" w:right="344"/>
        <w:spacing w:after="0" w:line="533" w:lineRule="exact"/>
        <w:rPr>
          <w:sz w:val="20"/>
          <w:szCs w:val="20"/>
          <w:color w:val="auto"/>
        </w:rPr>
      </w:pPr>
      <w:r>
        <w:rPr>
          <w:rFonts w:ascii="宋体" w:cs="宋体" w:eastAsia="宋体" w:hAnsi="宋体"/>
          <w:sz w:val="32"/>
          <w:szCs w:val="32"/>
          <w:color w:val="auto"/>
        </w:rPr>
        <w:t>题，因为在固定界值法中，安慰剂仅存在于既往试验中，而不存在于当前非劣效试验中。在对数（</w:t>
      </w:r>
      <w:r>
        <w:rPr>
          <w:rFonts w:ascii="Times New Roman" w:cs="Times New Roman" w:eastAsia="Times New Roman" w:hAnsi="Times New Roman"/>
          <w:sz w:val="32"/>
          <w:szCs w:val="32"/>
          <w:color w:val="auto"/>
        </w:rPr>
        <w:t>log</w:t>
      </w:r>
      <w:r>
        <w:rPr>
          <w:rFonts w:ascii="宋体" w:cs="宋体" w:eastAsia="宋体" w:hAnsi="宋体"/>
          <w:sz w:val="32"/>
          <w:szCs w:val="32"/>
          <w:color w:val="auto"/>
        </w:rPr>
        <w:t>）风险尺度上进行检验，其原假设</w:t>
      </w:r>
      <w:r>
        <w:rPr>
          <w:rFonts w:ascii="Times New Roman" w:cs="Times New Roman" w:eastAsia="Times New Roman" w:hAnsi="Times New Roman"/>
          <w:sz w:val="32"/>
          <w:szCs w:val="32"/>
          <w:color w:val="auto"/>
        </w:rPr>
        <w:t xml:space="preserve"> H</w:t>
      </w:r>
      <w:r>
        <w:rPr>
          <w:rFonts w:ascii="Times New Roman" w:cs="Times New Roman" w:eastAsia="Times New Roman" w:hAnsi="Times New Roman"/>
          <w:sz w:val="21"/>
          <w:szCs w:val="21"/>
          <w:color w:val="auto"/>
        </w:rPr>
        <w:t>0</w:t>
      </w:r>
      <w:r>
        <w:rPr>
          <w:rFonts w:ascii="Times New Roman" w:cs="Times New Roman" w:eastAsia="Times New Roman" w:hAnsi="Times New Roman"/>
          <w:sz w:val="32"/>
          <w:szCs w:val="32"/>
          <w:color w:val="auto"/>
        </w:rPr>
        <w:t xml:space="preserve"> </w:t>
      </w:r>
      <w:r>
        <w:rPr>
          <w:rFonts w:ascii="宋体" w:cs="宋体" w:eastAsia="宋体" w:hAnsi="宋体"/>
          <w:sz w:val="32"/>
          <w:szCs w:val="32"/>
          <w:color w:val="auto"/>
        </w:rPr>
        <w:t>为：</w:t>
      </w:r>
    </w:p>
    <w:p>
      <w:pPr>
        <w:ind w:left="2000"/>
        <w:spacing w:after="0" w:line="663" w:lineRule="exact"/>
        <w:rPr>
          <w:sz w:val="20"/>
          <w:szCs w:val="20"/>
          <w:color w:val="auto"/>
        </w:rPr>
      </w:pPr>
      <w:r>
        <w:rPr>
          <w:rFonts w:ascii="Times New Roman" w:cs="Times New Roman" w:eastAsia="Times New Roman" w:hAnsi="Times New Roman"/>
          <w:sz w:val="15"/>
          <w:szCs w:val="15"/>
          <w:color w:val="auto"/>
        </w:rPr>
        <w:t>ln</w:t>
      </w:r>
      <w:r>
        <w:rPr>
          <w:rFonts w:ascii="Cambria Math" w:cs="Cambria Math" w:eastAsia="Cambria Math" w:hAnsi="Cambria Math"/>
          <w:sz w:val="15"/>
          <w:szCs w:val="15"/>
          <w:color w:val="auto"/>
        </w:rPr>
        <w:t>(</w:t>
      </w:r>
      <w:r>
        <w:rPr>
          <w:rFonts w:ascii="宋体" w:cs="宋体" w:eastAsia="宋体" w:hAnsi="宋体"/>
          <w:sz w:val="15"/>
          <w:szCs w:val="15"/>
          <w:color w:val="auto"/>
        </w:rPr>
        <w:t>希美加群与华法林的相对风险</w:t>
      </w:r>
      <w:r>
        <w:rPr>
          <w:rFonts w:ascii="Cambria Math" w:cs="Cambria Math" w:eastAsia="Cambria Math" w:hAnsi="Cambria Math"/>
          <w:sz w:val="15"/>
          <w:szCs w:val="15"/>
          <w:color w:val="auto"/>
        </w:rPr>
        <w:t>) ≥</w:t>
      </w:r>
    </w:p>
    <w:p>
      <w:pPr>
        <w:ind w:left="1980"/>
        <w:spacing w:after="0" w:line="663" w:lineRule="exact"/>
        <w:rPr>
          <w:sz w:val="20"/>
          <w:szCs w:val="20"/>
          <w:color w:val="auto"/>
        </w:rPr>
      </w:pPr>
      <w:r>
        <w:rPr>
          <w:rFonts w:ascii="Cambria Math" w:cs="Cambria Math" w:eastAsia="Cambria Math" w:hAnsi="Cambria Math"/>
          <w:sz w:val="15"/>
          <w:szCs w:val="15"/>
          <w:color w:val="auto"/>
        </w:rPr>
        <w:t>−0.5ln(</w:t>
      </w:r>
      <w:r>
        <w:rPr>
          <w:rFonts w:ascii="宋体" w:cs="宋体" w:eastAsia="宋体" w:hAnsi="宋体"/>
          <w:sz w:val="15"/>
          <w:szCs w:val="15"/>
          <w:color w:val="auto"/>
        </w:rPr>
        <w:t>华法林与安慰剂的相对风险</w:t>
      </w:r>
      <w:r>
        <w:rPr>
          <w:rFonts w:ascii="Cambria Math" w:cs="Cambria Math" w:eastAsia="Cambria Math" w:hAnsi="Cambria Math"/>
          <w:sz w:val="15"/>
          <w:szCs w:val="15"/>
          <w:color w:val="auto"/>
        </w:rPr>
        <w:t>)</w:t>
      </w:r>
    </w:p>
    <w:p>
      <w:pPr>
        <w:spacing w:after="0" w:line="233" w:lineRule="exact"/>
        <w:rPr>
          <w:sz w:val="20"/>
          <w:szCs w:val="20"/>
          <w:color w:val="auto"/>
        </w:rPr>
      </w:pPr>
    </w:p>
    <w:p>
      <w:pPr>
        <w:ind w:left="1000"/>
        <w:spacing w:after="0" w:line="378" w:lineRule="exact"/>
        <w:rPr>
          <w:sz w:val="20"/>
          <w:szCs w:val="20"/>
          <w:color w:val="auto"/>
        </w:rPr>
      </w:pPr>
      <w:r>
        <w:rPr>
          <w:rFonts w:ascii="宋体" w:cs="宋体" w:eastAsia="宋体" w:hAnsi="宋体"/>
          <w:sz w:val="31"/>
          <w:szCs w:val="31"/>
          <w:color w:val="auto"/>
        </w:rPr>
        <w:t>在非劣效试验中，希美加群与华法林的相对风险为</w:t>
      </w:r>
      <w:r>
        <w:rPr>
          <w:rFonts w:ascii="Times New Roman" w:cs="Times New Roman" w:eastAsia="Times New Roman" w:hAnsi="Times New Roman"/>
          <w:sz w:val="31"/>
          <w:szCs w:val="31"/>
          <w:color w:val="auto"/>
        </w:rPr>
        <w:t xml:space="preserve"> 1.39</w:t>
      </w:r>
      <w:r>
        <w:rPr>
          <w:rFonts w:ascii="宋体" w:cs="宋体" w:eastAsia="宋体" w:hAnsi="宋体"/>
          <w:sz w:val="31"/>
          <w:szCs w:val="31"/>
          <w:color w:val="auto"/>
        </w:rPr>
        <w:t>，</w:t>
      </w:r>
    </w:p>
    <w:p>
      <w:pPr>
        <w:spacing w:after="0" w:line="247" w:lineRule="exact"/>
        <w:rPr>
          <w:sz w:val="20"/>
          <w:szCs w:val="20"/>
          <w:color w:val="auto"/>
        </w:rPr>
      </w:pPr>
    </w:p>
    <w:p>
      <w:pPr>
        <w:ind w:left="360"/>
        <w:spacing w:after="0" w:line="378" w:lineRule="exact"/>
        <w:rPr>
          <w:sz w:val="20"/>
          <w:szCs w:val="20"/>
          <w:color w:val="auto"/>
        </w:rPr>
      </w:pPr>
      <w:r>
        <w:rPr>
          <w:rFonts w:ascii="Times New Roman" w:cs="Times New Roman" w:eastAsia="Times New Roman" w:hAnsi="Times New Roman"/>
          <w:sz w:val="31"/>
          <w:szCs w:val="31"/>
          <w:color w:val="auto"/>
        </w:rPr>
        <w:t xml:space="preserve">95% </w:t>
      </w:r>
      <w:r>
        <w:rPr>
          <w:rFonts w:ascii="Times New Roman" w:cs="Times New Roman" w:eastAsia="Times New Roman" w:hAnsi="Times New Roman"/>
          <w:sz w:val="31"/>
          <w:szCs w:val="31"/>
          <w:i w:val="1"/>
          <w:iCs w:val="1"/>
          <w:color w:val="auto"/>
        </w:rPr>
        <w:t>CI</w:t>
      </w:r>
      <w:r>
        <w:rPr>
          <w:rFonts w:ascii="Times New Roman" w:cs="Times New Roman" w:eastAsia="Times New Roman" w:hAnsi="Times New Roman"/>
          <w:sz w:val="31"/>
          <w:szCs w:val="31"/>
          <w:color w:val="auto"/>
        </w:rPr>
        <w:t xml:space="preserve"> </w:t>
      </w:r>
      <w:r>
        <w:rPr>
          <w:rFonts w:ascii="宋体" w:cs="宋体" w:eastAsia="宋体" w:hAnsi="宋体"/>
          <w:sz w:val="31"/>
          <w:szCs w:val="31"/>
          <w:color w:val="auto"/>
        </w:rPr>
        <w:t>为（</w:t>
      </w:r>
      <w:r>
        <w:rPr>
          <w:rFonts w:ascii="Times New Roman" w:cs="Times New Roman" w:eastAsia="Times New Roman" w:hAnsi="Times New Roman"/>
          <w:sz w:val="31"/>
          <w:szCs w:val="31"/>
          <w:color w:val="auto"/>
        </w:rPr>
        <w:t>0.91</w:t>
      </w:r>
      <w:r>
        <w:rPr>
          <w:rFonts w:ascii="宋体" w:cs="宋体" w:eastAsia="宋体" w:hAnsi="宋体"/>
          <w:sz w:val="31"/>
          <w:szCs w:val="31"/>
          <w:color w:val="auto"/>
        </w:rPr>
        <w:t>，</w:t>
      </w:r>
      <w:r>
        <w:rPr>
          <w:rFonts w:ascii="Times New Roman" w:cs="Times New Roman" w:eastAsia="Times New Roman" w:hAnsi="Times New Roman"/>
          <w:sz w:val="31"/>
          <w:szCs w:val="31"/>
          <w:color w:val="auto"/>
        </w:rPr>
        <w:t>2.12</w:t>
      </w:r>
      <w:r>
        <w:rPr>
          <w:rFonts w:ascii="宋体" w:cs="宋体" w:eastAsia="宋体" w:hAnsi="宋体"/>
          <w:sz w:val="31"/>
          <w:szCs w:val="31"/>
          <w:color w:val="auto"/>
        </w:rPr>
        <w:t>）。从便于解释的角度，以固定界值法</w:t>
      </w:r>
    </w:p>
    <w:p>
      <w:pPr>
        <w:spacing w:after="0" w:line="230"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中</w:t>
      </w:r>
      <w:r>
        <w:rPr>
          <w:rFonts w:ascii="Times New Roman" w:cs="Times New Roman" w:eastAsia="Times New Roman" w:hAnsi="Times New Roman"/>
          <w:sz w:val="32"/>
          <w:szCs w:val="32"/>
          <w:color w:val="auto"/>
        </w:rPr>
        <w:t xml:space="preserve"> meta  </w:t>
      </w:r>
      <w:r>
        <w:rPr>
          <w:rFonts w:ascii="宋体" w:cs="宋体" w:eastAsia="宋体" w:hAnsi="宋体"/>
          <w:sz w:val="32"/>
          <w:szCs w:val="32"/>
          <w:color w:val="auto"/>
        </w:rPr>
        <w:t>分析结果为参考，华法林与安慰剂的相对风险为</w:t>
      </w:r>
    </w:p>
    <w:p>
      <w:pPr>
        <w:spacing w:after="0" w:line="247" w:lineRule="exact"/>
        <w:rPr>
          <w:sz w:val="20"/>
          <w:szCs w:val="20"/>
          <w:color w:val="auto"/>
        </w:rPr>
      </w:pPr>
    </w:p>
    <w:p>
      <w:pPr>
        <w:ind w:left="360"/>
        <w:spacing w:after="0" w:line="378" w:lineRule="exact"/>
        <w:rPr>
          <w:sz w:val="20"/>
          <w:szCs w:val="20"/>
          <w:color w:val="auto"/>
        </w:rPr>
      </w:pPr>
      <w:r>
        <w:rPr>
          <w:rFonts w:ascii="Times New Roman" w:cs="Times New Roman" w:eastAsia="Times New Roman" w:hAnsi="Times New Roman"/>
          <w:sz w:val="31"/>
          <w:szCs w:val="31"/>
          <w:color w:val="auto"/>
        </w:rPr>
        <w:t>0.361</w:t>
      </w:r>
      <w:r>
        <w:rPr>
          <w:rFonts w:ascii="宋体" w:cs="宋体" w:eastAsia="宋体" w:hAnsi="宋体"/>
          <w:sz w:val="31"/>
          <w:szCs w:val="31"/>
          <w:color w:val="auto"/>
        </w:rPr>
        <w:t>，</w:t>
      </w:r>
      <w:r>
        <w:rPr>
          <w:rFonts w:ascii="Times New Roman" w:cs="Times New Roman" w:eastAsia="Times New Roman" w:hAnsi="Times New Roman"/>
          <w:sz w:val="31"/>
          <w:szCs w:val="31"/>
          <w:color w:val="auto"/>
        </w:rPr>
        <w:t xml:space="preserve">95% </w:t>
      </w:r>
      <w:r>
        <w:rPr>
          <w:rFonts w:ascii="Times New Roman" w:cs="Times New Roman" w:eastAsia="Times New Roman" w:hAnsi="Times New Roman"/>
          <w:sz w:val="31"/>
          <w:szCs w:val="31"/>
          <w:i w:val="1"/>
          <w:iCs w:val="1"/>
          <w:color w:val="auto"/>
        </w:rPr>
        <w:t>CI</w:t>
      </w:r>
      <w:r>
        <w:rPr>
          <w:rFonts w:ascii="Times New Roman" w:cs="Times New Roman" w:eastAsia="Times New Roman" w:hAnsi="Times New Roman"/>
          <w:sz w:val="31"/>
          <w:szCs w:val="31"/>
          <w:color w:val="auto"/>
        </w:rPr>
        <w:t xml:space="preserve"> </w:t>
      </w:r>
      <w:r>
        <w:rPr>
          <w:rFonts w:ascii="宋体" w:cs="宋体" w:eastAsia="宋体" w:hAnsi="宋体"/>
          <w:sz w:val="31"/>
          <w:szCs w:val="31"/>
          <w:color w:val="auto"/>
        </w:rPr>
        <w:t>为（</w:t>
      </w:r>
      <w:r>
        <w:rPr>
          <w:rFonts w:ascii="Times New Roman" w:cs="Times New Roman" w:eastAsia="Times New Roman" w:hAnsi="Times New Roman"/>
          <w:sz w:val="31"/>
          <w:szCs w:val="31"/>
          <w:color w:val="auto"/>
        </w:rPr>
        <w:t>0.267</w:t>
      </w:r>
      <w:r>
        <w:rPr>
          <w:rFonts w:ascii="宋体" w:cs="宋体" w:eastAsia="宋体" w:hAnsi="宋体"/>
          <w:sz w:val="31"/>
          <w:szCs w:val="31"/>
          <w:color w:val="auto"/>
        </w:rPr>
        <w:t>，</w:t>
      </w:r>
      <w:r>
        <w:rPr>
          <w:rFonts w:ascii="Times New Roman" w:cs="Times New Roman" w:eastAsia="Times New Roman" w:hAnsi="Times New Roman"/>
          <w:sz w:val="31"/>
          <w:szCs w:val="31"/>
          <w:color w:val="auto"/>
        </w:rPr>
        <w:t>0.489</w:t>
      </w:r>
      <w:r>
        <w:rPr>
          <w:rFonts w:ascii="宋体" w:cs="宋体" w:eastAsia="宋体" w:hAnsi="宋体"/>
          <w:sz w:val="31"/>
          <w:szCs w:val="31"/>
          <w:color w:val="auto"/>
        </w:rPr>
        <w:t>）。基于此，希美加群相对于</w:t>
      </w:r>
    </w:p>
    <w:p>
      <w:pPr>
        <w:spacing w:after="0" w:line="201" w:lineRule="exact"/>
        <w:rPr>
          <w:sz w:val="20"/>
          <w:szCs w:val="20"/>
          <w:color w:val="auto"/>
        </w:rPr>
      </w:pPr>
    </w:p>
    <w:p>
      <w:pPr>
        <w:ind w:left="360"/>
        <w:spacing w:after="0" w:line="424" w:lineRule="exact"/>
        <w:tabs>
          <w:tab w:leader="none" w:pos="7220" w:val="left"/>
        </w:tabs>
        <w:rPr>
          <w:sz w:val="20"/>
          <w:szCs w:val="20"/>
          <w:color w:val="auto"/>
        </w:rPr>
      </w:pPr>
      <w:r>
        <w:rPr>
          <w:rFonts w:ascii="宋体" w:cs="宋体" w:eastAsia="宋体" w:hAnsi="宋体"/>
          <w:sz w:val="32"/>
          <w:szCs w:val="32"/>
          <w:color w:val="auto"/>
        </w:rPr>
        <w:t>华法林的相对风险点估计值在对数尺度上为</w:t>
      </w:r>
      <w:r>
        <w:rPr>
          <w:sz w:val="20"/>
          <w:szCs w:val="20"/>
          <w:color w:val="auto"/>
        </w:rPr>
        <w:tab/>
      </w:r>
      <w:r>
        <w:rPr>
          <w:rFonts w:ascii="Times New Roman" w:cs="Times New Roman" w:eastAsia="Times New Roman" w:hAnsi="Times New Roman"/>
          <w:sz w:val="31"/>
          <w:szCs w:val="31"/>
          <w:color w:val="auto"/>
        </w:rPr>
        <w:t xml:space="preserve">0.329 </w:t>
      </w:r>
      <w:r>
        <w:rPr>
          <w:rFonts w:ascii="宋体" w:cs="宋体" w:eastAsia="宋体" w:hAnsi="宋体"/>
          <w:sz w:val="31"/>
          <w:szCs w:val="31"/>
          <w:color w:val="auto"/>
        </w:rPr>
        <w:t>，即</w:t>
      </w:r>
    </w:p>
    <w:p>
      <w:pPr>
        <w:ind w:left="360"/>
        <w:spacing w:after="0" w:line="619" w:lineRule="exact"/>
        <w:rPr>
          <w:sz w:val="20"/>
          <w:szCs w:val="20"/>
          <w:color w:val="auto"/>
        </w:rPr>
      </w:pPr>
      <w:r>
        <w:rPr>
          <w:rFonts w:ascii="Cambria Math" w:cs="Cambria Math" w:eastAsia="Cambria Math" w:hAnsi="Cambria Math"/>
          <w:sz w:val="14"/>
          <w:szCs w:val="14"/>
          <w:color w:val="auto"/>
        </w:rPr>
        <w:t>ln(1.39)</w:t>
      </w:r>
      <w:r>
        <w:rPr>
          <w:rFonts w:ascii="宋体" w:cs="宋体" w:eastAsia="宋体" w:hAnsi="宋体"/>
          <w:sz w:val="14"/>
          <w:szCs w:val="14"/>
          <w:color w:val="auto"/>
        </w:rPr>
        <w:t>，标准误为</w:t>
      </w:r>
      <w:r>
        <w:rPr>
          <w:rFonts w:ascii="Cambria Math" w:cs="Cambria Math" w:eastAsia="Cambria Math" w:hAnsi="Cambria Math"/>
          <w:sz w:val="14"/>
          <w:szCs w:val="14"/>
          <w:color w:val="auto"/>
        </w:rPr>
        <w:t xml:space="preserve"> </w:t>
      </w:r>
      <w:r>
        <w:rPr>
          <w:rFonts w:ascii="Times New Roman" w:cs="Times New Roman" w:eastAsia="Times New Roman" w:hAnsi="Times New Roman"/>
          <w:sz w:val="14"/>
          <w:szCs w:val="14"/>
          <w:color w:val="auto"/>
        </w:rPr>
        <w:t>0.216</w:t>
      </w:r>
      <w:r>
        <w:rPr>
          <w:rFonts w:ascii="宋体" w:cs="宋体" w:eastAsia="宋体" w:hAnsi="宋体"/>
          <w:sz w:val="14"/>
          <w:szCs w:val="14"/>
          <w:color w:val="auto"/>
        </w:rPr>
        <w:t>，而华法林相对于安慰剂的相对风</w:t>
      </w:r>
    </w:p>
    <w:p>
      <w:pPr>
        <w:ind w:left="360"/>
        <w:spacing w:after="0" w:line="625" w:lineRule="exact"/>
        <w:rPr>
          <w:sz w:val="20"/>
          <w:szCs w:val="20"/>
          <w:color w:val="auto"/>
        </w:rPr>
      </w:pPr>
      <w:r>
        <w:rPr>
          <w:rFonts w:ascii="宋体" w:cs="宋体" w:eastAsia="宋体" w:hAnsi="宋体"/>
          <w:sz w:val="14"/>
          <w:szCs w:val="14"/>
          <w:color w:val="auto"/>
        </w:rPr>
        <w:t>险点估计值在相应的对数尺度上为－</w:t>
      </w:r>
      <w:r>
        <w:rPr>
          <w:rFonts w:ascii="Times New Roman" w:cs="Times New Roman" w:eastAsia="Times New Roman" w:hAnsi="Times New Roman"/>
          <w:sz w:val="14"/>
          <w:szCs w:val="14"/>
          <w:color w:val="auto"/>
        </w:rPr>
        <w:t>1.02</w:t>
      </w:r>
      <w:r>
        <w:rPr>
          <w:rFonts w:ascii="宋体" w:cs="宋体" w:eastAsia="宋体" w:hAnsi="宋体"/>
          <w:sz w:val="14"/>
          <w:szCs w:val="14"/>
          <w:color w:val="auto"/>
        </w:rPr>
        <w:t>，即</w:t>
      </w:r>
      <w:r>
        <w:rPr>
          <w:rFonts w:ascii="Cambria Math" w:cs="Cambria Math" w:eastAsia="Cambria Math" w:hAnsi="Cambria Math"/>
          <w:sz w:val="14"/>
          <w:szCs w:val="14"/>
          <w:color w:val="auto"/>
        </w:rPr>
        <w:t>ln(0.361)</w:t>
      </w:r>
      <w:r>
        <w:rPr>
          <w:rFonts w:ascii="宋体" w:cs="宋体" w:eastAsia="宋体" w:hAnsi="宋体"/>
          <w:sz w:val="14"/>
          <w:szCs w:val="14"/>
          <w:color w:val="auto"/>
        </w:rPr>
        <w:t>，标</w:t>
      </w:r>
    </w:p>
    <w:p>
      <w:pPr>
        <w:spacing w:after="0" w:line="235" w:lineRule="exact"/>
        <w:rPr>
          <w:sz w:val="20"/>
          <w:szCs w:val="20"/>
          <w:color w:val="auto"/>
        </w:rPr>
      </w:pPr>
    </w:p>
    <w:p>
      <w:pPr>
        <w:ind w:left="360"/>
        <w:spacing w:after="0" w:line="390" w:lineRule="exact"/>
        <w:rPr>
          <w:sz w:val="20"/>
          <w:szCs w:val="20"/>
          <w:color w:val="auto"/>
        </w:rPr>
      </w:pPr>
      <w:r>
        <w:rPr>
          <w:rFonts w:ascii="宋体" w:cs="宋体" w:eastAsia="宋体" w:hAnsi="宋体"/>
          <w:sz w:val="32"/>
          <w:szCs w:val="32"/>
          <w:color w:val="auto"/>
        </w:rPr>
        <w:t>准误为</w:t>
      </w:r>
      <w:r>
        <w:rPr>
          <w:rFonts w:ascii="Times New Roman" w:cs="Times New Roman" w:eastAsia="Times New Roman" w:hAnsi="Times New Roman"/>
          <w:sz w:val="32"/>
          <w:szCs w:val="32"/>
          <w:color w:val="auto"/>
        </w:rPr>
        <w:t xml:space="preserve"> 0.154</w:t>
      </w:r>
      <w:r>
        <w:rPr>
          <w:rFonts w:ascii="宋体" w:cs="宋体" w:eastAsia="宋体" w:hAnsi="宋体"/>
          <w:sz w:val="32"/>
          <w:szCs w:val="32"/>
          <w:color w:val="auto"/>
        </w:rPr>
        <w:t>。</w:t>
      </w:r>
    </w:p>
    <w:p>
      <w:pPr>
        <w:spacing w:after="0" w:line="231" w:lineRule="exact"/>
        <w:rPr>
          <w:sz w:val="20"/>
          <w:szCs w:val="20"/>
          <w:color w:val="auto"/>
        </w:rPr>
      </w:pPr>
    </w:p>
    <w:p>
      <w:pPr>
        <w:ind w:left="1000"/>
        <w:spacing w:after="0" w:line="366" w:lineRule="exact"/>
        <w:rPr>
          <w:sz w:val="20"/>
          <w:szCs w:val="20"/>
          <w:color w:val="auto"/>
        </w:rPr>
      </w:pPr>
      <w:r>
        <w:rPr>
          <w:rFonts w:ascii="宋体" w:cs="宋体" w:eastAsia="宋体" w:hAnsi="宋体"/>
          <w:sz w:val="32"/>
          <w:szCs w:val="32"/>
          <w:color w:val="auto"/>
        </w:rPr>
        <w:t>根据综合法的统计检验公式有：</w:t>
      </w:r>
    </w:p>
    <w:p>
      <w:pPr>
        <w:ind w:left="2760"/>
        <w:spacing w:after="0" w:line="186" w:lineRule="auto"/>
        <w:rPr>
          <w:sz w:val="20"/>
          <w:szCs w:val="20"/>
          <w:color w:val="auto"/>
        </w:rPr>
      </w:pPr>
      <w:r>
        <w:rPr>
          <w:rFonts w:ascii="Cambria Math" w:cs="Cambria Math" w:eastAsia="Cambria Math" w:hAnsi="Cambria Math"/>
          <w:sz w:val="11"/>
          <w:szCs w:val="11"/>
          <w:color w:val="auto"/>
        </w:rPr>
        <w:t>0.329 + 0.5(−1.02)</w:t>
      </w:r>
    </w:p>
    <w:p>
      <w:pPr>
        <w:ind w:left="1800"/>
        <w:spacing w:after="0" w:line="188" w:lineRule="auto"/>
        <w:rPr>
          <w:sz w:val="20"/>
          <w:szCs w:val="20"/>
          <w:color w:val="auto"/>
        </w:rPr>
      </w:pPr>
      <w:r>
        <w:rPr>
          <w:rFonts w:ascii="Cambria Math" w:cs="Cambria Math" w:eastAsia="Cambria Math" w:hAnsi="Cambria Math"/>
          <w:sz w:val="19"/>
          <w:szCs w:val="19"/>
          <w:color w:val="auto"/>
          <w:vertAlign w:val="superscript"/>
        </w:rPr>
        <w:t>=</w:t>
      </w:r>
      <w:r>
        <w:rPr>
          <w:rFonts w:ascii="Cambria Math" w:cs="Cambria Math" w:eastAsia="Cambria Math" w:hAnsi="Cambria Math"/>
          <w:sz w:val="15"/>
          <w:szCs w:val="15"/>
          <w:color w:val="auto"/>
        </w:rPr>
        <w:t xml:space="preserve"> </w:t>
      </w:r>
      <w:r>
        <w:rPr>
          <w:rFonts w:ascii="Cambria Math" w:cs="Cambria Math" w:eastAsia="Cambria Math" w:hAnsi="Cambria Math"/>
          <w:sz w:val="19"/>
          <w:szCs w:val="19"/>
          <w:color w:val="auto"/>
          <w:vertAlign w:val="subscript"/>
        </w:rPr>
        <w:t>√0.216</w:t>
      </w:r>
      <w:r>
        <w:rPr>
          <w:rFonts w:ascii="Cambria Math" w:cs="Cambria Math" w:eastAsia="Cambria Math" w:hAnsi="Cambria Math"/>
          <w:sz w:val="15"/>
          <w:szCs w:val="15"/>
          <w:color w:val="auto"/>
        </w:rPr>
        <w:t xml:space="preserve">2 </w:t>
      </w:r>
      <w:r>
        <w:rPr>
          <w:rFonts w:ascii="Cambria Math" w:cs="Cambria Math" w:eastAsia="Cambria Math" w:hAnsi="Cambria Math"/>
          <w:sz w:val="19"/>
          <w:szCs w:val="19"/>
          <w:color w:val="auto"/>
          <w:vertAlign w:val="subscript"/>
        </w:rPr>
        <w:t>+ [0.5(0.154)]</w:t>
      </w:r>
      <w:r>
        <w:rPr>
          <w:rFonts w:ascii="Cambria Math" w:cs="Cambria Math" w:eastAsia="Cambria Math" w:hAnsi="Cambria Math"/>
          <w:sz w:val="15"/>
          <w:szCs w:val="15"/>
          <w:color w:val="auto"/>
        </w:rPr>
        <w:t xml:space="preserve">2 </w:t>
      </w:r>
      <w:r>
        <w:rPr>
          <w:rFonts w:ascii="Cambria Math" w:cs="Cambria Math" w:eastAsia="Cambria Math" w:hAnsi="Cambria Math"/>
          <w:sz w:val="19"/>
          <w:szCs w:val="19"/>
          <w:color w:val="auto"/>
          <w:vertAlign w:val="superscript"/>
        </w:rPr>
        <w:t>= −0.789</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1689735</wp:posOffset>
                </wp:positionH>
                <wp:positionV relativeFrom="paragraph">
                  <wp:posOffset>-339090</wp:posOffset>
                </wp:positionV>
                <wp:extent cx="1990725" cy="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990725" cy="4763"/>
                        </a:xfrm>
                        <a:prstGeom prst="line">
                          <a:avLst/>
                        </a:prstGeom>
                        <a:solidFill>
                          <a:srgbClr val="FFFFFF"/>
                        </a:solidFill>
                        <a:ln w="12191">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3.05pt,-26.6999pt" to="289.8pt,-26.6999pt" o:allowincell="f" strokecolor="#000000" strokeweight="0.9599pt"/>
            </w:pict>
          </mc:Fallback>
        </mc:AlternateContent>
        <mc:AlternateContent>
          <mc:Choice Requires="wps">
            <w:drawing>
              <wp:anchor simplePos="0" relativeHeight="251657728" behindDoc="1" locked="0" layoutInCell="0" allowOverlap="1">
                <wp:simplePos x="0" y="0"/>
                <wp:positionH relativeFrom="column">
                  <wp:posOffset>1536700</wp:posOffset>
                </wp:positionH>
                <wp:positionV relativeFrom="paragraph">
                  <wp:posOffset>-390525</wp:posOffset>
                </wp:positionV>
                <wp:extent cx="2140585" cy="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2140585" cy="4763"/>
                        </a:xfrm>
                        <a:prstGeom prst="line">
                          <a:avLst/>
                        </a:prstGeom>
                        <a:solidFill>
                          <a:srgbClr val="FFFFFF"/>
                        </a:solidFill>
                        <a:ln w="12192">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1pt,-30.7499pt" to="289.55pt,-30.7499pt" o:allowincell="f" strokecolor="#000000" strokeweight="0.96pt"/>
            </w:pict>
          </mc:Fallback>
        </mc:AlternateContent>
      </w:r>
    </w:p>
    <w:p>
      <w:pPr>
        <w:spacing w:after="0" w:line="64" w:lineRule="exact"/>
        <w:rPr>
          <w:sz w:val="20"/>
          <w:szCs w:val="20"/>
          <w:color w:val="auto"/>
        </w:rPr>
      </w:pPr>
    </w:p>
    <w:p>
      <w:pPr>
        <w:ind w:left="360" w:right="344" w:firstLine="639"/>
        <w:spacing w:after="0" w:line="477" w:lineRule="exact"/>
        <w:tabs>
          <w:tab w:leader="none" w:pos="1426" w:val="left"/>
        </w:tabs>
        <w:numPr>
          <w:ilvl w:val="0"/>
          <w:numId w:val="5"/>
        </w:numPr>
        <w:rPr>
          <w:rFonts w:ascii="宋体" w:cs="宋体" w:eastAsia="宋体" w:hAnsi="宋体"/>
          <w:sz w:val="32"/>
          <w:szCs w:val="32"/>
          <w:color w:val="auto"/>
        </w:rPr>
      </w:pPr>
      <w:r>
        <w:rPr>
          <w:rFonts w:ascii="Times New Roman" w:cs="Times New Roman" w:eastAsia="Times New Roman" w:hAnsi="Times New Roman"/>
          <w:sz w:val="32"/>
          <w:szCs w:val="32"/>
          <w:i w:val="1"/>
          <w:iCs w:val="1"/>
          <w:color w:val="auto"/>
        </w:rPr>
        <w:t xml:space="preserve">Z </w:t>
      </w:r>
      <w:r>
        <w:rPr>
          <w:rFonts w:ascii="宋体" w:cs="宋体" w:eastAsia="宋体" w:hAnsi="宋体"/>
          <w:sz w:val="32"/>
          <w:szCs w:val="32"/>
          <w:color w:val="auto"/>
        </w:rPr>
        <w:t>大于－</w:t>
      </w:r>
      <w:r>
        <w:rPr>
          <w:rFonts w:ascii="Times New Roman" w:cs="Times New Roman" w:eastAsia="Times New Roman" w:hAnsi="Times New Roman"/>
          <w:sz w:val="32"/>
          <w:szCs w:val="32"/>
          <w:color w:val="auto"/>
        </w:rPr>
        <w:t>1.96</w:t>
      </w:r>
      <w:r>
        <w:rPr>
          <w:rFonts w:ascii="宋体" w:cs="宋体" w:eastAsia="宋体" w:hAnsi="宋体"/>
          <w:sz w:val="32"/>
          <w:szCs w:val="32"/>
          <w:color w:val="auto"/>
        </w:rPr>
        <w:t>，据此推断该试验结果尚不能认为希美加群非劣于华法林。</w:t>
      </w:r>
    </w:p>
    <w:p>
      <w:pPr>
        <w:sectPr>
          <w:pgSz w:w="11900" w:h="16838" w:orient="portrait"/>
          <w:cols w:equalWidth="0" w:num="1">
            <w:col w:w="9024"/>
          </w:cols>
          <w:pgMar w:left="1440" w:top="1440" w:right="1440" w:bottom="433"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4" w:lineRule="exact"/>
        <w:rPr>
          <w:sz w:val="20"/>
          <w:szCs w:val="20"/>
          <w:color w:val="auto"/>
        </w:rPr>
      </w:pPr>
    </w:p>
    <w:p>
      <w:pPr>
        <w:jc w:val="center"/>
        <w:ind w:right="4"/>
        <w:spacing w:after="0"/>
        <w:rPr>
          <w:sz w:val="20"/>
          <w:szCs w:val="20"/>
          <w:color w:val="auto"/>
        </w:rPr>
      </w:pPr>
      <w:r>
        <w:rPr>
          <w:rFonts w:ascii="Calibri" w:cs="Calibri" w:eastAsia="Calibri" w:hAnsi="Calibri"/>
          <w:sz w:val="17"/>
          <w:szCs w:val="17"/>
          <w:color w:val="auto"/>
        </w:rPr>
        <w:t>15</w:t>
      </w:r>
    </w:p>
    <w:sectPr>
      <w:pgSz w:w="11900" w:h="16838" w:orient="portrait"/>
      <w:cols w:equalWidth="0" w:num="1">
        <w:col w:w="9024"/>
      </w:cols>
      <w:pgMar w:left="1440" w:top="1440" w:right="1440" w:bottom="433"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panose1 w:val="02010609060101010101"/>
    <w:charset w:val="86"/>
    <w:family w:val="modern"/>
    <w:pitch w:val="fixed"/>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Cambria Math">
    <w:panose1 w:val="02040503050406030204"/>
    <w:charset w:val="00"/>
    <w:family w:val="roman"/>
    <w:pitch w:val="variable"/>
    <w:sig w:usb0="E00002FF" w:usb1="420024FF" w:usb2="00000000" w:usb3="00000000" w:csb0="2000019F" w:csb1="00000000"/>
  </w:font>
</w:fonts>
</file>

<file path=word/numbering.xml><?xml version="1.0" encoding="utf-8"?>
<w:numbering xmlns:w="http://schemas.openxmlformats.org/wordprocessingml/2006/main">
  <w:abstractNum w:abstractNumId="0">
    <w:nsid w:val="6DF1"/>
    <w:multiLevelType w:val="hybridMultilevel"/>
    <w:lvl w:ilvl="0">
      <w:lvlJc w:val="left"/>
      <w:lvlText w:val="%1"/>
      <w:numFmt w:val="upperLetter"/>
      <w:start w:val="13"/>
    </w:lvl>
  </w:abstractNum>
  <w:abstractNum w:abstractNumId="1">
    <w:nsid w:val="5AF1"/>
    <w:multiLevelType w:val="hybridMultilevel"/>
    <w:lvl w:ilvl="0">
      <w:lvlJc w:val="left"/>
      <w:lvlText w:val="定"/>
      <w:numFmt w:val="bullet"/>
      <w:start w:val="1"/>
    </w:lvl>
  </w:abstractNum>
  <w:abstractNum w:abstractNumId="2">
    <w:nsid w:val="41BB"/>
    <w:multiLevelType w:val="hybridMultilevel"/>
    <w:lvl w:ilvl="0">
      <w:lvlJc w:val="left"/>
      <w:lvlText w:val="若"/>
      <w:numFmt w:val="bullet"/>
      <w:start w:val="1"/>
    </w:lvl>
  </w:abstractNum>
  <w:abstractNum w:abstractNumId="3">
    <w:nsid w:val="26E9"/>
    <w:multiLevelType w:val="hybridMultilevel"/>
    <w:lvl w:ilvl="0">
      <w:lvlJc w:val="left"/>
      <w:lvlText w:val="为"/>
      <w:numFmt w:val="bullet"/>
      <w:start w:val="1"/>
    </w:lvl>
  </w:abstractNum>
  <w:abstractNum w:abstractNumId="4">
    <w:nsid w:val="1EB"/>
    <w:multiLevelType w:val="hybridMultilevel"/>
    <w:lvl w:ilvl="0">
      <w:lvlJc w:val="left"/>
      <w:lvlText w:val="其"/>
      <w:numFmt w:val="bullet"/>
      <w:start w:val="1"/>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image" Target="media/image15.jpeg"/><Relationship Id="rId23" Type="http://schemas.openxmlformats.org/officeDocument/2006/relationships/image" Target="media/image16.jpeg"/><Relationship Id="rId24" Type="http://schemas.openxmlformats.org/officeDocument/2006/relationships/image" Target="media/image17.jpeg"/><Relationship Id="rId25" Type="http://schemas.openxmlformats.org/officeDocument/2006/relationships/image" Target="media/image18.jpeg"/><Relationship Id="rId26" Type="http://schemas.openxmlformats.org/officeDocument/2006/relationships/image" Target="media/image19.jpeg"/><Relationship Id="rId27" Type="http://schemas.openxmlformats.org/officeDocument/2006/relationships/image" Target="media/image20.jpeg"/><Relationship Id="rId28" Type="http://schemas.openxmlformats.org/officeDocument/2006/relationships/image" Target="media/image21.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2020-07-24T17:27:51Z</dcterms:created>
  <dcterms:modified xsi:type="dcterms:W3CDTF">2020-07-24T17:27:51Z</dcterms:modified>
</cp:coreProperties>
</file>